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5000" w:type="pct"/>
        <w:jc w:val="center"/>
        <w:tblCellMar>
          <w:bottom w:w="142" w:type="dxa"/>
        </w:tblCellMar>
        <w:tblLook w:val="04A0" w:firstRow="1" w:lastRow="0" w:firstColumn="1" w:lastColumn="0" w:noHBand="0" w:noVBand="1"/>
      </w:tblPr>
      <w:tblGrid>
        <w:gridCol w:w="8589"/>
      </w:tblGrid>
      <w:tr w:rsidR="005C4E64" w:rsidRPr="001F169C" w:rsidTr="00807D17">
        <w:trPr>
          <w:jc w:val="center"/>
        </w:trPr>
        <w:tc>
          <w:tcPr>
            <w:tcW w:w="5000" w:type="pct"/>
            <w:tcMar>
              <w:right w:w="28" w:type="dxa"/>
            </w:tcMar>
          </w:tcPr>
          <w:p w:rsidR="005C4E64" w:rsidRPr="001F169C" w:rsidRDefault="005C4E64" w:rsidP="00D90AFE">
            <w:pPr>
              <w:pStyle w:val="DSMemoTitle"/>
            </w:pPr>
            <w:bookmarkStart w:id="0" w:name="lblMemoTitle" w:colFirst="0" w:colLast="0"/>
            <w:bookmarkStart w:id="1" w:name="_GoBack"/>
            <w:bookmarkEnd w:id="1"/>
            <w:r>
              <w:t>Memorandum</w:t>
            </w:r>
          </w:p>
        </w:tc>
      </w:tr>
      <w:bookmarkEnd w:id="0"/>
    </w:tbl>
    <w:p w:rsidR="00D90AFE" w:rsidRPr="001F169C" w:rsidRDefault="00D90AFE"/>
    <w:tbl>
      <w:tblPr>
        <w:tblStyle w:val="DSTableClear"/>
        <w:tblW w:w="5000" w:type="pct"/>
        <w:tblLook w:val="04A0" w:firstRow="1" w:lastRow="0" w:firstColumn="1" w:lastColumn="0" w:noHBand="0" w:noVBand="1"/>
      </w:tblPr>
      <w:tblGrid>
        <w:gridCol w:w="993"/>
        <w:gridCol w:w="7596"/>
      </w:tblGrid>
      <w:tr w:rsidR="00D90AFE" w:rsidRPr="001F169C" w:rsidTr="00EA4BC9">
        <w:trPr>
          <w:trHeight w:val="284"/>
        </w:trPr>
        <w:tc>
          <w:tcPr>
            <w:tcW w:w="578" w:type="pct"/>
          </w:tcPr>
          <w:p w:rsidR="00D90AFE" w:rsidRPr="001F169C" w:rsidRDefault="00D90AFE" w:rsidP="000928E1">
            <w:pPr>
              <w:pStyle w:val="DSLabels"/>
            </w:pPr>
            <w:bookmarkStart w:id="2" w:name="cbmSendOption" w:colFirst="1" w:colLast="1"/>
          </w:p>
        </w:tc>
        <w:tc>
          <w:tcPr>
            <w:tcW w:w="4422" w:type="pct"/>
          </w:tcPr>
          <w:p w:rsidR="00D90AFE" w:rsidRPr="001F169C" w:rsidRDefault="00D90AFE" w:rsidP="00CC3385">
            <w:pPr>
              <w:pStyle w:val="DSSendOption"/>
            </w:pPr>
          </w:p>
        </w:tc>
      </w:tr>
      <w:tr w:rsidR="00D90AFE" w:rsidRPr="001F169C" w:rsidTr="00EA4BC9">
        <w:trPr>
          <w:trHeight w:val="284"/>
        </w:trPr>
        <w:tc>
          <w:tcPr>
            <w:tcW w:w="578" w:type="pct"/>
            <w:noWrap/>
          </w:tcPr>
          <w:p w:rsidR="00D90AFE" w:rsidRPr="001F169C" w:rsidRDefault="00D90AFE" w:rsidP="000928E1">
            <w:pPr>
              <w:pStyle w:val="DSLabels"/>
            </w:pPr>
            <w:bookmarkStart w:id="3" w:name="lblFrom" w:colFirst="0" w:colLast="0"/>
            <w:bookmarkStart w:id="4" w:name="bmAuthorData_fullname" w:colFirst="1" w:colLast="1"/>
            <w:bookmarkEnd w:id="2"/>
            <w:r>
              <w:t>From</w:t>
            </w:r>
          </w:p>
        </w:tc>
        <w:tc>
          <w:tcPr>
            <w:tcW w:w="4422" w:type="pct"/>
          </w:tcPr>
          <w:p w:rsidR="00D90AFE" w:rsidRPr="001F169C" w:rsidRDefault="009B78B7" w:rsidP="00D90AFE">
            <w:r>
              <w:t>Meijburg Legal</w:t>
            </w:r>
            <w:r w:rsidR="00482B22">
              <w:t>/Meijburg Tax</w:t>
            </w:r>
          </w:p>
        </w:tc>
      </w:tr>
      <w:tr w:rsidR="00D90AFE" w:rsidRPr="001F169C" w:rsidTr="00EA4BC9">
        <w:trPr>
          <w:trHeight w:hRule="exact" w:val="1"/>
        </w:trPr>
        <w:tc>
          <w:tcPr>
            <w:tcW w:w="578" w:type="pct"/>
            <w:noWrap/>
          </w:tcPr>
          <w:p w:rsidR="00D90AFE" w:rsidRPr="001F169C" w:rsidRDefault="00D90AFE" w:rsidP="000928E1">
            <w:pPr>
              <w:pStyle w:val="DSLabels"/>
            </w:pPr>
            <w:bookmarkStart w:id="5" w:name="lblCopy" w:colFirst="0" w:colLast="0"/>
            <w:bookmarkStart w:id="6" w:name="bmCarbonCopies" w:colFirst="1" w:colLast="1"/>
            <w:bookmarkEnd w:id="3"/>
            <w:bookmarkEnd w:id="4"/>
            <w:r>
              <w:t>Copy to</w:t>
            </w:r>
          </w:p>
        </w:tc>
        <w:tc>
          <w:tcPr>
            <w:tcW w:w="4422" w:type="pct"/>
          </w:tcPr>
          <w:p w:rsidR="00D90AFE" w:rsidRPr="001F169C" w:rsidRDefault="00D90AFE" w:rsidP="00D90AFE"/>
        </w:tc>
      </w:tr>
      <w:tr w:rsidR="00D90AFE" w:rsidRPr="001F169C" w:rsidTr="00EA4BC9">
        <w:trPr>
          <w:trHeight w:val="284"/>
        </w:trPr>
        <w:tc>
          <w:tcPr>
            <w:tcW w:w="578" w:type="pct"/>
            <w:noWrap/>
          </w:tcPr>
          <w:p w:rsidR="00D90AFE" w:rsidRPr="001F169C" w:rsidRDefault="00D90AFE" w:rsidP="000928E1">
            <w:pPr>
              <w:pStyle w:val="DSLabels"/>
            </w:pPr>
            <w:bookmarkStart w:id="7" w:name="lblDate" w:colFirst="0" w:colLast="0"/>
            <w:bookmarkStart w:id="8" w:name="bmDate" w:colFirst="1" w:colLast="1"/>
            <w:bookmarkEnd w:id="5"/>
            <w:bookmarkEnd w:id="6"/>
            <w:r>
              <w:t>Date</w:t>
            </w:r>
          </w:p>
        </w:tc>
        <w:tc>
          <w:tcPr>
            <w:tcW w:w="4422" w:type="pct"/>
          </w:tcPr>
          <w:p w:rsidR="00D90AFE" w:rsidRPr="001F169C" w:rsidRDefault="00D90AFE" w:rsidP="00D90AFE">
            <w:r>
              <w:t>March 2020</w:t>
            </w:r>
          </w:p>
        </w:tc>
      </w:tr>
      <w:bookmarkEnd w:id="7"/>
      <w:bookmarkEnd w:id="8"/>
      <w:tr w:rsidR="00892BB7" w:rsidRPr="001F169C" w:rsidTr="00EA4BC9">
        <w:trPr>
          <w:trHeight w:val="284"/>
        </w:trPr>
        <w:tc>
          <w:tcPr>
            <w:tcW w:w="578" w:type="pct"/>
            <w:noWrap/>
          </w:tcPr>
          <w:p w:rsidR="00892BB7" w:rsidRPr="001F169C" w:rsidRDefault="00892BB7" w:rsidP="00FB2975"/>
        </w:tc>
        <w:tc>
          <w:tcPr>
            <w:tcW w:w="4422" w:type="pct"/>
          </w:tcPr>
          <w:p w:rsidR="00892BB7" w:rsidRPr="001F169C" w:rsidRDefault="00892BB7" w:rsidP="00FB2975"/>
        </w:tc>
      </w:tr>
      <w:tr w:rsidR="00892BB7" w:rsidRPr="001F169C" w:rsidTr="00EA4BC9">
        <w:trPr>
          <w:trHeight w:val="284"/>
        </w:trPr>
        <w:tc>
          <w:tcPr>
            <w:tcW w:w="578" w:type="pct"/>
            <w:noWrap/>
          </w:tcPr>
          <w:p w:rsidR="00892BB7" w:rsidRPr="001F169C" w:rsidRDefault="00892BB7" w:rsidP="00892BB7">
            <w:pPr>
              <w:rPr>
                <w:rStyle w:val="Strong"/>
              </w:rPr>
            </w:pPr>
            <w:bookmarkStart w:id="9" w:name="lblSubject" w:colFirst="0" w:colLast="0"/>
            <w:bookmarkStart w:id="10" w:name="bmSubject" w:colFirst="1" w:colLast="1"/>
            <w:r>
              <w:rPr>
                <w:rStyle w:val="Strong"/>
              </w:rPr>
              <w:t>Subject:</w:t>
            </w:r>
          </w:p>
        </w:tc>
        <w:tc>
          <w:tcPr>
            <w:tcW w:w="4422" w:type="pct"/>
          </w:tcPr>
          <w:p w:rsidR="00892BB7" w:rsidRPr="001F169C" w:rsidRDefault="00B03215" w:rsidP="00B03215">
            <w:pPr>
              <w:rPr>
                <w:rStyle w:val="Strong"/>
              </w:rPr>
            </w:pPr>
            <w:r>
              <w:rPr>
                <w:rStyle w:val="Strong"/>
              </w:rPr>
              <w:t>Governance during the Coronavirus</w:t>
            </w:r>
          </w:p>
        </w:tc>
      </w:tr>
    </w:tbl>
    <w:bookmarkEnd w:id="9"/>
    <w:bookmarkEnd w:id="10"/>
    <w:p w:rsidR="003260A5" w:rsidRPr="001F169C" w:rsidRDefault="00862570" w:rsidP="001E6903">
      <w:r w:rsidRPr="001F169C">
        <w:rPr>
          <w:noProof/>
          <w:lang w:val="nl-NL" w:eastAsia="nl-NL"/>
        </w:rPr>
        <mc:AlternateContent>
          <mc:Choice Requires="wps">
            <w:drawing>
              <wp:inline distT="0" distB="0" distL="0" distR="0">
                <wp:extent cx="5484495" cy="0"/>
                <wp:effectExtent l="15240" t="17145" r="15240" b="11430"/>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4495" cy="0"/>
                        </a:xfrm>
                        <a:prstGeom prst="line">
                          <a:avLst/>
                        </a:prstGeom>
                        <a:noFill/>
                        <a:ln w="1587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inline>
            </w:drawing>
          </mc:Choice>
          <mc:Fallback>
            <w:pict>
              <v:line w14:anchorId="1A79C4FA" id="Line 2" o:spid="_x0000_s1026" style="visibility:visible;mso-wrap-style:square;mso-left-percent:-10001;mso-top-percent:-10001;mso-position-horizontal:absolute;mso-position-horizontal-relative:char;mso-position-vertical:absolute;mso-position-vertical-relative:line;mso-left-percent:-10001;mso-top-percent:-10001" from="0,0" to="431.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" strokeweight="1.25pt">
                <v:stroke startarrowlength="short" endarrowlength="short"/>
                <w10:anchorlock/>
              </v:line>
            </w:pict>
          </mc:Fallback>
        </mc:AlternateContent>
      </w:r>
    </w:p>
    <w:p w:rsidR="007D2B0C" w:rsidRPr="001F169C" w:rsidRDefault="007D2B0C" w:rsidP="001E6903"/>
    <w:p w:rsidR="008F22AD" w:rsidRDefault="00D73B95" w:rsidP="00D73B95">
      <w:pPr>
        <w:pStyle w:val="DSHeadingNoToc1"/>
      </w:pPr>
      <w:r>
        <w:t>Introduction</w:t>
      </w:r>
    </w:p>
    <w:p w:rsidR="008F22AD" w:rsidRDefault="009B78B7" w:rsidP="00860535">
      <w:pPr>
        <w:pStyle w:val="DSHeadingNoToc2"/>
      </w:pPr>
      <w:r>
        <w:t>The rapid outbreak of the C</w:t>
      </w:r>
      <w:r w:rsidR="00D73B95" w:rsidRPr="00D73B95">
        <w:t>oronavirus</w:t>
      </w:r>
      <w:r w:rsidR="00860535">
        <w:t xml:space="preserve"> (</w:t>
      </w:r>
      <w:r w:rsidR="00860535" w:rsidRPr="00860535">
        <w:t>COVID-19</w:t>
      </w:r>
      <w:r w:rsidR="00860535">
        <w:t>)</w:t>
      </w:r>
      <w:r w:rsidR="00D73B95" w:rsidRPr="00D73B95">
        <w:t xml:space="preserve"> presents an alarming health crisis that the world is grappling with. In </w:t>
      </w:r>
      <w:r w:rsidR="00D73B95" w:rsidRPr="005B2150">
        <w:t>addition</w:t>
      </w:r>
      <w:r w:rsidR="00D73B95" w:rsidRPr="00D73B95">
        <w:t xml:space="preserve"> to the human impact, there is also a significant commercial impact being felt globally</w:t>
      </w:r>
      <w:r w:rsidR="00D73B95">
        <w:t xml:space="preserve"> and at country local</w:t>
      </w:r>
      <w:r w:rsidR="00F05A35">
        <w:t xml:space="preserve"> level</w:t>
      </w:r>
      <w:r w:rsidR="00D73B95">
        <w:t xml:space="preserve">. </w:t>
      </w:r>
    </w:p>
    <w:p w:rsidR="005B2150" w:rsidRDefault="00D73B95" w:rsidP="00D73B95">
      <w:pPr>
        <w:pStyle w:val="DSHeadingNoToc2"/>
      </w:pPr>
      <w:r>
        <w:t xml:space="preserve">This memorandum addresses </w:t>
      </w:r>
      <w:r w:rsidR="005B2150">
        <w:t xml:space="preserve">certain </w:t>
      </w:r>
      <w:r>
        <w:t xml:space="preserve">governance </w:t>
      </w:r>
      <w:r w:rsidR="005B2150">
        <w:t>aspects that managing directors</w:t>
      </w:r>
      <w:r w:rsidR="00D9570D">
        <w:t xml:space="preserve"> and</w:t>
      </w:r>
      <w:r w:rsidR="005B2150">
        <w:t xml:space="preserve"> supervisory directors of Dutch companies are currently</w:t>
      </w:r>
      <w:r w:rsidR="00D9570D">
        <w:t xml:space="preserve"> facing in their daily </w:t>
      </w:r>
      <w:proofErr w:type="gramStart"/>
      <w:r w:rsidR="00D9570D">
        <w:t>tasks</w:t>
      </w:r>
      <w:proofErr w:type="gramEnd"/>
      <w:r w:rsidR="00D9570D">
        <w:t xml:space="preserve"> of managing or supervising such companies</w:t>
      </w:r>
      <w:r w:rsidR="005B2150">
        <w:t xml:space="preserve">. </w:t>
      </w:r>
      <w:r w:rsidR="00A2104D">
        <w:t xml:space="preserve">We address some high level tax considerations that may be of importance to you and your company, which you will find in paragraph </w:t>
      </w:r>
      <w:r w:rsidR="00A2104D">
        <w:fldChar w:fldCharType="begin"/>
      </w:r>
      <w:r w:rsidR="00A2104D">
        <w:instrText xml:space="preserve"> REF _Ref36730517 \r \h </w:instrText>
      </w:r>
      <w:r w:rsidR="00A2104D">
        <w:fldChar w:fldCharType="separate"/>
      </w:r>
      <w:r w:rsidR="00ED5D30">
        <w:t>4</w:t>
      </w:r>
      <w:r w:rsidR="00A2104D">
        <w:fldChar w:fldCharType="end"/>
      </w:r>
      <w:r w:rsidR="00A2104D">
        <w:t>.</w:t>
      </w:r>
    </w:p>
    <w:p w:rsidR="005B2150" w:rsidRDefault="005B2150" w:rsidP="00D73B95">
      <w:pPr>
        <w:pStyle w:val="DSHeadingNoToc2"/>
      </w:pPr>
      <w:r>
        <w:t xml:space="preserve">This memorandum is </w:t>
      </w:r>
      <w:r w:rsidR="00D73B95">
        <w:t>for general information purposes only, and is inten</w:t>
      </w:r>
      <w:r>
        <w:t xml:space="preserve">ded to provide a summary of </w:t>
      </w:r>
      <w:r w:rsidR="00D9570D">
        <w:t xml:space="preserve">practical </w:t>
      </w:r>
      <w:r w:rsidR="00D73B95">
        <w:t xml:space="preserve">legal </w:t>
      </w:r>
      <w:r>
        <w:t>solutions that can be considered in these challenging times</w:t>
      </w:r>
      <w:r w:rsidR="00D73B95">
        <w:t xml:space="preserve">. </w:t>
      </w:r>
      <w:r>
        <w:t xml:space="preserve">This memorandum </w:t>
      </w:r>
      <w:r w:rsidR="00D73B95">
        <w:t>does not purport to be comprehensive or to give legal or tax advice</w:t>
      </w:r>
      <w:r w:rsidR="00D9570D">
        <w:t xml:space="preserve"> and applicable facts and circumstances should always be considered.</w:t>
      </w:r>
    </w:p>
    <w:p w:rsidR="005B2150" w:rsidRDefault="00A2104D" w:rsidP="00D73B95">
      <w:pPr>
        <w:pStyle w:val="DSHeadingNoToc2"/>
      </w:pPr>
      <w:r>
        <w:t>We are</w:t>
      </w:r>
      <w:r w:rsidR="005B2150">
        <w:t xml:space="preserve"> available to provide </w:t>
      </w:r>
      <w:r w:rsidR="00D9570D">
        <w:t xml:space="preserve">Dutch </w:t>
      </w:r>
      <w:r>
        <w:t xml:space="preserve">(corporate and tax) </w:t>
      </w:r>
      <w:r w:rsidR="00D9570D">
        <w:t xml:space="preserve">law advice </w:t>
      </w:r>
      <w:r w:rsidR="0044514C">
        <w:t>resulting in</w:t>
      </w:r>
      <w:r w:rsidR="00F05A35">
        <w:t xml:space="preserve"> </w:t>
      </w:r>
      <w:r w:rsidR="00D9570D">
        <w:t xml:space="preserve">and assistance </w:t>
      </w:r>
      <w:r w:rsidR="00F05A35">
        <w:t xml:space="preserve">with </w:t>
      </w:r>
      <w:r w:rsidR="005B2150">
        <w:t xml:space="preserve">tailor-made solutions for </w:t>
      </w:r>
      <w:r w:rsidR="00D9570D">
        <w:t>managing directors and supervisory director</w:t>
      </w:r>
      <w:r w:rsidR="00860535">
        <w:t>s</w:t>
      </w:r>
      <w:r w:rsidR="00D9570D">
        <w:t xml:space="preserve"> </w:t>
      </w:r>
      <w:r w:rsidR="00860535" w:rsidRPr="00860535">
        <w:t xml:space="preserve">of Dutch companies </w:t>
      </w:r>
      <w:r w:rsidR="00D9570D">
        <w:t xml:space="preserve">that are confronted with </w:t>
      </w:r>
      <w:r w:rsidR="0044514C">
        <w:t xml:space="preserve">governance issues that have been triggered </w:t>
      </w:r>
      <w:r w:rsidR="000254A4">
        <w:t xml:space="preserve">by </w:t>
      </w:r>
      <w:r w:rsidR="0044514C">
        <w:t xml:space="preserve">the </w:t>
      </w:r>
      <w:r w:rsidR="00D9570D">
        <w:t xml:space="preserve">Coronavirus. </w:t>
      </w:r>
    </w:p>
    <w:p w:rsidR="005B2150" w:rsidRDefault="003F4E8F" w:rsidP="005B2150">
      <w:pPr>
        <w:pStyle w:val="DSHeadingNoToc1"/>
      </w:pPr>
      <w:r>
        <w:t xml:space="preserve">The </w:t>
      </w:r>
      <w:r w:rsidR="00C119FE">
        <w:t>m</w:t>
      </w:r>
      <w:r>
        <w:t xml:space="preserve">anagement </w:t>
      </w:r>
      <w:r w:rsidR="00C119FE">
        <w:t>b</w:t>
      </w:r>
      <w:r>
        <w:t>oard</w:t>
      </w:r>
    </w:p>
    <w:p w:rsidR="007F3FF6" w:rsidRDefault="003F4E8F" w:rsidP="007F3FF6">
      <w:pPr>
        <w:pStyle w:val="DSHeadingNoToc2"/>
      </w:pPr>
      <w:r>
        <w:t>The management board is responsible for the day-to-day management of the company. The management board should</w:t>
      </w:r>
      <w:r w:rsidR="000551D0">
        <w:t xml:space="preserve"> always</w:t>
      </w:r>
      <w:r>
        <w:t xml:space="preserve"> act in the best interest of the company and the business connected with it. </w:t>
      </w:r>
      <w:r w:rsidRPr="00262C73">
        <w:t xml:space="preserve">If the management board consists of more than one member, the managing directors </w:t>
      </w:r>
      <w:r>
        <w:t xml:space="preserve">are collectively responsible. </w:t>
      </w:r>
    </w:p>
    <w:p w:rsidR="007F3FF6" w:rsidRPr="007F3FF6" w:rsidRDefault="007F3FF6" w:rsidP="007F3FF6">
      <w:pPr>
        <w:pStyle w:val="DSHeadingNoToc2"/>
      </w:pPr>
      <w:r>
        <w:t xml:space="preserve">The Dutch Civil Code is silent on the convocation and process of management board meetings. </w:t>
      </w:r>
      <w:r w:rsidR="00D9570D">
        <w:t xml:space="preserve">This means that </w:t>
      </w:r>
      <w:r w:rsidR="0044514C">
        <w:t xml:space="preserve">from a Dutch corporate law perspective </w:t>
      </w:r>
      <w:r w:rsidR="00D9570D">
        <w:t xml:space="preserve">the management board has flexibility and room to manoeuvre in organising its meetings. </w:t>
      </w:r>
      <w:r>
        <w:t>As a principle, t</w:t>
      </w:r>
      <w:r w:rsidRPr="007F3FF6">
        <w:t>he management board should meet at regular intervals</w:t>
      </w:r>
      <w:r w:rsidR="00A92FBF">
        <w:t xml:space="preserve"> and at least once per year</w:t>
      </w:r>
      <w:r w:rsidRPr="007F3FF6">
        <w:t>.</w:t>
      </w:r>
      <w:r w:rsidR="00860535">
        <w:t xml:space="preserve"> </w:t>
      </w:r>
      <w:r w:rsidR="0044514C">
        <w:t xml:space="preserve">The </w:t>
      </w:r>
      <w:r w:rsidRPr="007F3FF6">
        <w:t xml:space="preserve">management board may hold its meetings </w:t>
      </w:r>
      <w:r w:rsidR="00A92FBF">
        <w:t xml:space="preserve">whenever and </w:t>
      </w:r>
      <w:r w:rsidRPr="007F3FF6">
        <w:t xml:space="preserve">wherever it deems appropriate. </w:t>
      </w:r>
    </w:p>
    <w:p w:rsidR="00D961B5" w:rsidRDefault="00D961B5" w:rsidP="00860535">
      <w:pPr>
        <w:pStyle w:val="DSHeadingNoToc2"/>
      </w:pPr>
      <w:r>
        <w:lastRenderedPageBreak/>
        <w:t>Meetings are typically held in a physical assembly of managing directors. Due to Corona measures, physical meetings may no longer be possible</w:t>
      </w:r>
      <w:r w:rsidR="00C119FE">
        <w:t xml:space="preserve"> or preferred</w:t>
      </w:r>
      <w:r>
        <w:t xml:space="preserve">. </w:t>
      </w:r>
      <w:r w:rsidR="00262C73">
        <w:t xml:space="preserve">The below paragraphs provide for alternative manners to, nevertheless, conclude formal </w:t>
      </w:r>
      <w:r w:rsidR="00C119FE">
        <w:t>decision-making. A combination of these alternatives is of course also possible.</w:t>
      </w:r>
    </w:p>
    <w:p w:rsidR="00262C73" w:rsidRPr="000551D0" w:rsidRDefault="00262C73" w:rsidP="00423D38">
      <w:pPr>
        <w:pStyle w:val="DSHeadingNoToc2"/>
      </w:pPr>
      <w:r>
        <w:t xml:space="preserve">For all described alternatives, it is important to verify the tax implications in the </w:t>
      </w:r>
      <w:r w:rsidR="00D26CD2">
        <w:t>given case</w:t>
      </w:r>
      <w:r>
        <w:t xml:space="preserve"> and whether the articles of association of the </w:t>
      </w:r>
      <w:r w:rsidR="00C119FE">
        <w:t>company, management</w:t>
      </w:r>
      <w:r w:rsidR="00860535">
        <w:t>/supervisory</w:t>
      </w:r>
      <w:r w:rsidR="00C119FE">
        <w:t xml:space="preserve"> board regulations</w:t>
      </w:r>
      <w:r w:rsidR="00BB15CC">
        <w:t xml:space="preserve"> (if any</w:t>
      </w:r>
      <w:r w:rsidR="00860535">
        <w:t>)</w:t>
      </w:r>
      <w:r>
        <w:t xml:space="preserve"> or</w:t>
      </w:r>
      <w:r w:rsidR="00BB15CC">
        <w:t xml:space="preserve"> any other</w:t>
      </w:r>
      <w:r>
        <w:t xml:space="preserve"> </w:t>
      </w:r>
      <w:r w:rsidR="00BB15CC">
        <w:t>(</w:t>
      </w:r>
      <w:r>
        <w:t>contractual</w:t>
      </w:r>
      <w:r w:rsidR="00BB15CC">
        <w:t>)</w:t>
      </w:r>
      <w:r>
        <w:t xml:space="preserve"> arrangements provide for (deviating) provisions that should be taken into account (e.g. limitation</w:t>
      </w:r>
      <w:r w:rsidR="00C119FE">
        <w:t xml:space="preserve"> or restriction</w:t>
      </w:r>
      <w:r>
        <w:t xml:space="preserve"> of meeting possibilities, quorum and qualified majorities).</w:t>
      </w:r>
    </w:p>
    <w:p w:rsidR="00D26CD2" w:rsidRDefault="00D26CD2" w:rsidP="003F4E8F">
      <w:pPr>
        <w:pStyle w:val="DSHeadingNoToc2"/>
        <w:rPr>
          <w:b/>
        </w:rPr>
      </w:pPr>
      <w:r>
        <w:rPr>
          <w:b/>
        </w:rPr>
        <w:t>Cancellation or p</w:t>
      </w:r>
      <w:r w:rsidRPr="00D26CD2">
        <w:rPr>
          <w:b/>
        </w:rPr>
        <w:t>ostponement of meetings</w:t>
      </w:r>
    </w:p>
    <w:p w:rsidR="00D26CD2" w:rsidRDefault="00D26CD2" w:rsidP="00D26CD2">
      <w:pPr>
        <w:pStyle w:val="DSBodyText2"/>
      </w:pPr>
      <w:r>
        <w:t xml:space="preserve">The Dutch Civil Code is </w:t>
      </w:r>
      <w:r w:rsidR="0044514C">
        <w:t xml:space="preserve">also </w:t>
      </w:r>
      <w:r>
        <w:t xml:space="preserve">silent on the cancellation or postponement of management board meetings that </w:t>
      </w:r>
      <w:r w:rsidR="0044514C">
        <w:t xml:space="preserve">have </w:t>
      </w:r>
      <w:r>
        <w:t xml:space="preserve">already been convened. It is generally accepted that meetings can be cancelled or postponed provided that all managing directors are timely notified thereof, explaining the reasons and </w:t>
      </w:r>
      <w:r w:rsidR="00E16695">
        <w:t xml:space="preserve">asking managing directors whether there are any matters that should be addressed in a different manner. </w:t>
      </w:r>
    </w:p>
    <w:p w:rsidR="00D26CD2" w:rsidRPr="00D26CD2" w:rsidRDefault="00E16695" w:rsidP="00D26CD2">
      <w:pPr>
        <w:pStyle w:val="DSBodyText2"/>
      </w:pPr>
      <w:r>
        <w:t>Cancellation or postponement n</w:t>
      </w:r>
      <w:r w:rsidR="00D26CD2">
        <w:t>otification</w:t>
      </w:r>
      <w:r>
        <w:t>s are ordinarily</w:t>
      </w:r>
      <w:r w:rsidR="00D26CD2">
        <w:t xml:space="preserve"> sent by the person(s) that initially convened the meeting. </w:t>
      </w:r>
    </w:p>
    <w:p w:rsidR="000551D0" w:rsidRPr="000551D0" w:rsidRDefault="00D961B5" w:rsidP="003F4E8F">
      <w:pPr>
        <w:pStyle w:val="DSHeadingNoToc2"/>
      </w:pPr>
      <w:r>
        <w:rPr>
          <w:b/>
        </w:rPr>
        <w:t>Tele-</w:t>
      </w:r>
      <w:r w:rsidR="000551D0">
        <w:rPr>
          <w:b/>
        </w:rPr>
        <w:t>meetings</w:t>
      </w:r>
    </w:p>
    <w:p w:rsidR="00D961B5" w:rsidRDefault="00D961B5" w:rsidP="00D961B5">
      <w:pPr>
        <w:pStyle w:val="DSBodyText2"/>
      </w:pPr>
      <w:r w:rsidRPr="00D961B5">
        <w:t xml:space="preserve">Meetings of the </w:t>
      </w:r>
      <w:r>
        <w:t>m</w:t>
      </w:r>
      <w:r w:rsidRPr="00D961B5">
        <w:t xml:space="preserve">anagement </w:t>
      </w:r>
      <w:r>
        <w:t>b</w:t>
      </w:r>
      <w:r w:rsidRPr="00D961B5">
        <w:t xml:space="preserve">oard may be held by means of an assembly of the </w:t>
      </w:r>
      <w:r>
        <w:t>m</w:t>
      </w:r>
      <w:r w:rsidRPr="00D961B5">
        <w:t xml:space="preserve">anaging </w:t>
      </w:r>
      <w:r>
        <w:t>d</w:t>
      </w:r>
      <w:r w:rsidRPr="00D961B5">
        <w:t xml:space="preserve">irectors in person at a formal meeting </w:t>
      </w:r>
      <w:r>
        <w:t>but can also be held differently</w:t>
      </w:r>
      <w:r w:rsidR="0044514C">
        <w:t>; alternative options would be the use of</w:t>
      </w:r>
      <w:r>
        <w:t xml:space="preserve"> online communication tools like </w:t>
      </w:r>
      <w:r w:rsidRPr="00D961B5">
        <w:t>conference call</w:t>
      </w:r>
      <w:r>
        <w:t>s</w:t>
      </w:r>
      <w:r w:rsidRPr="00D961B5">
        <w:t>, video conference</w:t>
      </w:r>
      <w:r>
        <w:t xml:space="preserve"> calls (e.g. Skype, Google Hangout, Zoom, </w:t>
      </w:r>
      <w:proofErr w:type="gramStart"/>
      <w:r>
        <w:t>Microsoft</w:t>
      </w:r>
      <w:proofErr w:type="gramEnd"/>
      <w:r>
        <w:t xml:space="preserve"> Teams)</w:t>
      </w:r>
      <w:r w:rsidRPr="00D961B5">
        <w:t xml:space="preserve"> or by any other means </w:t>
      </w:r>
      <w:r>
        <w:t xml:space="preserve">of communication. In most cases, such meetings are allowed </w:t>
      </w:r>
      <w:r w:rsidRPr="00D961B5">
        <w:t xml:space="preserve">provided that all </w:t>
      </w:r>
      <w:r>
        <w:t>m</w:t>
      </w:r>
      <w:r w:rsidRPr="00D961B5">
        <w:t xml:space="preserve">anaging </w:t>
      </w:r>
      <w:r>
        <w:t>d</w:t>
      </w:r>
      <w:r w:rsidRPr="00D961B5">
        <w:t>irectors participating in such meeting are able to communicate with each other simultaneously. Participation in a meeting held in any of the a</w:t>
      </w:r>
      <w:r>
        <w:t xml:space="preserve">forementioned manners shall in principle </w:t>
      </w:r>
      <w:r w:rsidRPr="00D961B5">
        <w:t>constitute presence at such meeting</w:t>
      </w:r>
      <w:r w:rsidR="0044514C">
        <w:t xml:space="preserve"> and will qualify for quorum requirements</w:t>
      </w:r>
      <w:r>
        <w:t>.</w:t>
      </w:r>
    </w:p>
    <w:p w:rsidR="000551D0" w:rsidRPr="00D961B5" w:rsidRDefault="00D961B5" w:rsidP="003F4E8F">
      <w:pPr>
        <w:pStyle w:val="DSHeadingNoToc2"/>
      </w:pPr>
      <w:r>
        <w:rPr>
          <w:b/>
        </w:rPr>
        <w:t>Power</w:t>
      </w:r>
      <w:r w:rsidR="0045074E">
        <w:rPr>
          <w:b/>
        </w:rPr>
        <w:t>s</w:t>
      </w:r>
      <w:r>
        <w:rPr>
          <w:b/>
        </w:rPr>
        <w:t xml:space="preserve"> of attorney</w:t>
      </w:r>
    </w:p>
    <w:p w:rsidR="0044514C" w:rsidRDefault="0044514C" w:rsidP="00D961B5">
      <w:pPr>
        <w:pStyle w:val="DSBodyText2"/>
      </w:pPr>
      <w:r>
        <w:t xml:space="preserve">In absence of a managing director, either physically or through one of the alternatives mentioned above, managing </w:t>
      </w:r>
      <w:r w:rsidR="007F3FF6">
        <w:t xml:space="preserve">directors may grant a power of attorney to another managing director </w:t>
      </w:r>
      <w:r>
        <w:t>in order to</w:t>
      </w:r>
      <w:r w:rsidR="007F3FF6">
        <w:t xml:space="preserve"> represen</w:t>
      </w:r>
      <w:r>
        <w:t>t them</w:t>
      </w:r>
      <w:r w:rsidR="007F3FF6">
        <w:t xml:space="preserve"> at </w:t>
      </w:r>
      <w:r>
        <w:t xml:space="preserve">the relevant </w:t>
      </w:r>
      <w:r w:rsidR="007F3FF6">
        <w:t>manage</w:t>
      </w:r>
      <w:r w:rsidR="00A92FBF">
        <w:t>me</w:t>
      </w:r>
      <w:r w:rsidR="007F3FF6">
        <w:t>nt board meeting.</w:t>
      </w:r>
      <w:r w:rsidR="00A92FBF">
        <w:t xml:space="preserve"> Such power</w:t>
      </w:r>
      <w:r w:rsidR="000254A4">
        <w:t xml:space="preserve"> </w:t>
      </w:r>
      <w:r w:rsidR="00A92FBF">
        <w:t xml:space="preserve">of attorney </w:t>
      </w:r>
      <w:r w:rsidR="00482B22">
        <w:t xml:space="preserve">is </w:t>
      </w:r>
      <w:r w:rsidR="00A92FBF">
        <w:t>only granted to co-managing directors</w:t>
      </w:r>
      <w:r w:rsidR="000254A4">
        <w:t>,</w:t>
      </w:r>
      <w:r>
        <w:t xml:space="preserve"> in acknowledgement that only persons that are part of the </w:t>
      </w:r>
      <w:r>
        <w:lastRenderedPageBreak/>
        <w:t>board will be in a position to resolve on matters designated to the managing board of the company</w:t>
      </w:r>
      <w:r w:rsidR="00A92FBF">
        <w:t xml:space="preserve">. </w:t>
      </w:r>
    </w:p>
    <w:p w:rsidR="00D961B5" w:rsidRDefault="00A92FBF" w:rsidP="00D961B5">
      <w:pPr>
        <w:pStyle w:val="DSBodyText2"/>
      </w:pPr>
      <w:r>
        <w:t>It is generally advised to lay down a meeting power of attorney in writing (this may include by e-mail) and to specify that such power of attorney is revocable, and limited to a specific meeting and/or</w:t>
      </w:r>
      <w:r w:rsidR="00C119FE">
        <w:t xml:space="preserve"> specific </w:t>
      </w:r>
      <w:r>
        <w:t xml:space="preserve">topics. The power of attorney may include voting instructions or can be blank for that specific meeting. Continuous blank powers of attorney are </w:t>
      </w:r>
      <w:r w:rsidR="0044514C">
        <w:t xml:space="preserve">considered </w:t>
      </w:r>
      <w:r>
        <w:t xml:space="preserve">not </w:t>
      </w:r>
      <w:r w:rsidR="0044514C">
        <w:t xml:space="preserve">to be </w:t>
      </w:r>
      <w:r>
        <w:t xml:space="preserve">possible. </w:t>
      </w:r>
    </w:p>
    <w:p w:rsidR="0044514C" w:rsidRDefault="0044514C" w:rsidP="000254A4">
      <w:pPr>
        <w:pStyle w:val="DSBodyText2"/>
      </w:pPr>
      <w:r>
        <w:t xml:space="preserve">The Meijburg Legal team is more than happy to assist with more detailed advice on the scope of such powers of attorney, taking specific circumstances of the company into account. </w:t>
      </w:r>
    </w:p>
    <w:p w:rsidR="003F4E8F" w:rsidRPr="003F4E8F" w:rsidRDefault="003F4E8F" w:rsidP="003F4E8F">
      <w:pPr>
        <w:pStyle w:val="DSHeadingNoToc2"/>
      </w:pPr>
      <w:r>
        <w:rPr>
          <w:b/>
        </w:rPr>
        <w:t xml:space="preserve">Allocation of </w:t>
      </w:r>
      <w:r w:rsidR="00C119FE">
        <w:rPr>
          <w:b/>
        </w:rPr>
        <w:t>t</w:t>
      </w:r>
      <w:r>
        <w:rPr>
          <w:b/>
        </w:rPr>
        <w:t>asks</w:t>
      </w:r>
    </w:p>
    <w:p w:rsidR="003F4E8F" w:rsidRDefault="003F4E8F" w:rsidP="003F4E8F">
      <w:pPr>
        <w:pStyle w:val="DSBodyText2"/>
      </w:pPr>
      <w:r w:rsidRPr="003F4E8F">
        <w:t>Th</w:t>
      </w:r>
      <w:r w:rsidR="0044514C">
        <w:t xml:space="preserve">e general </w:t>
      </w:r>
      <w:r w:rsidRPr="003F4E8F">
        <w:t xml:space="preserve">principle of collective responsibility </w:t>
      </w:r>
      <w:r>
        <w:t xml:space="preserve">of managing directors </w:t>
      </w:r>
      <w:r w:rsidRPr="003F4E8F">
        <w:t xml:space="preserve">does not prevent the possibility for a management board to allocate specific management tasks to one or more of its members or </w:t>
      </w:r>
      <w:r>
        <w:t>to (</w:t>
      </w:r>
      <w:proofErr w:type="gramStart"/>
      <w:r>
        <w:t>designated</w:t>
      </w:r>
      <w:proofErr w:type="gramEnd"/>
      <w:r>
        <w:t xml:space="preserve">) </w:t>
      </w:r>
      <w:r w:rsidRPr="003F4E8F">
        <w:t xml:space="preserve">board committees in particular. </w:t>
      </w:r>
      <w:r>
        <w:t>It is even possible to gran</w:t>
      </w:r>
      <w:r w:rsidR="00D26CD2">
        <w:t>t such managing director(s) or</w:t>
      </w:r>
      <w:r>
        <w:t xml:space="preserve"> (designated) </w:t>
      </w:r>
      <w:r w:rsidR="00D26CD2">
        <w:t xml:space="preserve">board </w:t>
      </w:r>
      <w:r>
        <w:t>committee</w:t>
      </w:r>
      <w:r w:rsidR="00D26CD2">
        <w:t>s</w:t>
      </w:r>
      <w:r>
        <w:t xml:space="preserve"> the power to adopt corporate resolutions </w:t>
      </w:r>
      <w:r w:rsidR="0044514C">
        <w:t xml:space="preserve">on these tasks </w:t>
      </w:r>
      <w:r>
        <w:t xml:space="preserve">on behalf of the </w:t>
      </w:r>
      <w:r w:rsidR="00D26CD2">
        <w:t xml:space="preserve">entire </w:t>
      </w:r>
      <w:r>
        <w:t xml:space="preserve">management board. </w:t>
      </w:r>
      <w:r w:rsidRPr="003F4E8F">
        <w:t>However, the final responsibility for specific</w:t>
      </w:r>
      <w:r w:rsidR="000551D0">
        <w:t xml:space="preserve"> allocated</w:t>
      </w:r>
      <w:r w:rsidRPr="003F4E8F">
        <w:t xml:space="preserve"> tasks will, as part of the </w:t>
      </w:r>
      <w:r w:rsidR="0044514C">
        <w:t>collective responsibility</w:t>
      </w:r>
      <w:r w:rsidRPr="003F4E8F">
        <w:t>, remain with the</w:t>
      </w:r>
      <w:r w:rsidR="000551D0">
        <w:t xml:space="preserve"> management board as a whole. T</w:t>
      </w:r>
      <w:r w:rsidRPr="003F4E8F">
        <w:t xml:space="preserve">he management board can adopt resolutions </w:t>
      </w:r>
      <w:r w:rsidR="000551D0">
        <w:t xml:space="preserve">to revoke the allocation of tasks or the powers of a (designated) </w:t>
      </w:r>
      <w:r w:rsidR="00D26CD2">
        <w:t xml:space="preserve">board </w:t>
      </w:r>
      <w:r w:rsidR="000551D0">
        <w:t xml:space="preserve">committee at all times. </w:t>
      </w:r>
    </w:p>
    <w:p w:rsidR="0044514C" w:rsidRDefault="0044514C" w:rsidP="003F4E8F">
      <w:pPr>
        <w:pStyle w:val="DSBodyText2"/>
      </w:pPr>
      <w:r>
        <w:t xml:space="preserve">The </w:t>
      </w:r>
      <w:r w:rsidR="00D002BC">
        <w:t xml:space="preserve">allocation of tasks needs careful alignment to the articles of association of the company as well as potential existing board rules. The expertise to run this exercise is very well represented within Meijburg Legal and will enable management boards to have the necessary flexibility when challenges, like the ones triggered by the Coronavirus, increase. </w:t>
      </w:r>
    </w:p>
    <w:p w:rsidR="000551D0" w:rsidRPr="000551D0" w:rsidRDefault="000551D0" w:rsidP="000551D0">
      <w:pPr>
        <w:pStyle w:val="DSHeadingNoToc2"/>
        <w:rPr>
          <w:b/>
        </w:rPr>
      </w:pPr>
      <w:r w:rsidRPr="000551D0">
        <w:rPr>
          <w:b/>
        </w:rPr>
        <w:t>Written resolutions</w:t>
      </w:r>
    </w:p>
    <w:p w:rsidR="004F784B" w:rsidRDefault="004F784B" w:rsidP="004F784B">
      <w:pPr>
        <w:pStyle w:val="DSBodyText2"/>
      </w:pPr>
      <w:r>
        <w:t xml:space="preserve">Resolutions of the management board may also </w:t>
      </w:r>
      <w:r w:rsidRPr="004F784B">
        <w:t>be adopted in writing</w:t>
      </w:r>
      <w:r>
        <w:t>. As a principle, the proposed resolution has to be submitted to all managing directors in office. All of the managing directors should agree with this manner of decision-making, which is evidenced by their written statements.</w:t>
      </w:r>
    </w:p>
    <w:p w:rsidR="004F784B" w:rsidRDefault="004F784B" w:rsidP="004F784B">
      <w:pPr>
        <w:pStyle w:val="DSBodyText2"/>
      </w:pPr>
      <w:r>
        <w:t xml:space="preserve">‘In writing’ can be a broad term and </w:t>
      </w:r>
      <w:r w:rsidR="009B78B7">
        <w:t>may</w:t>
      </w:r>
      <w:r>
        <w:t xml:space="preserve"> include a countersigned, wet signature, piece of paper, but </w:t>
      </w:r>
      <w:r w:rsidR="009B78B7">
        <w:t xml:space="preserve">may also </w:t>
      </w:r>
      <w:r>
        <w:t xml:space="preserve">include </w:t>
      </w:r>
      <w:r w:rsidR="009B78B7">
        <w:t xml:space="preserve">an </w:t>
      </w:r>
      <w:r>
        <w:t>email or other electronic means of communication</w:t>
      </w:r>
      <w:r w:rsidR="00C119FE">
        <w:t xml:space="preserve"> (e.g. electronic signatures, by using </w:t>
      </w:r>
      <w:r w:rsidR="009618B3">
        <w:t xml:space="preserve">specially developed </w:t>
      </w:r>
      <w:r w:rsidR="00C119FE">
        <w:t>software</w:t>
      </w:r>
      <w:r w:rsidR="009618B3">
        <w:t xml:space="preserve"> programs)</w:t>
      </w:r>
      <w:r>
        <w:t xml:space="preserve">, provided the relevant message is legible and reproducible. </w:t>
      </w:r>
    </w:p>
    <w:p w:rsidR="00A01AEB" w:rsidRDefault="00A01AEB" w:rsidP="004F784B">
      <w:pPr>
        <w:pStyle w:val="DSHeadingNoToc2"/>
        <w:rPr>
          <w:b/>
        </w:rPr>
      </w:pPr>
      <w:r>
        <w:rPr>
          <w:b/>
        </w:rPr>
        <w:t>Conflict of interest</w:t>
      </w:r>
    </w:p>
    <w:p w:rsidR="00A01AEB" w:rsidRDefault="00A01AEB" w:rsidP="00A01AEB">
      <w:pPr>
        <w:pStyle w:val="DSBodyText2"/>
      </w:pPr>
      <w:r>
        <w:lastRenderedPageBreak/>
        <w:t>It is important to note that, even in challenging times, a</w:t>
      </w:r>
      <w:r w:rsidRPr="00A01AEB">
        <w:t xml:space="preserve"> </w:t>
      </w:r>
      <w:r>
        <w:t>m</w:t>
      </w:r>
      <w:r w:rsidRPr="00A01AEB">
        <w:t xml:space="preserve">anaging </w:t>
      </w:r>
      <w:r>
        <w:t>d</w:t>
      </w:r>
      <w:r w:rsidRPr="00A01AEB">
        <w:t xml:space="preserve">irector </w:t>
      </w:r>
      <w:r>
        <w:t xml:space="preserve">may </w:t>
      </w:r>
      <w:r w:rsidR="0044514C">
        <w:t xml:space="preserve">(still) </w:t>
      </w:r>
      <w:r w:rsidRPr="00A01AEB">
        <w:t xml:space="preserve">not take part in the discussions and decision-making by the </w:t>
      </w:r>
      <w:r>
        <w:t>m</w:t>
      </w:r>
      <w:r w:rsidRPr="00A01AEB">
        <w:t xml:space="preserve">anagement </w:t>
      </w:r>
      <w:r>
        <w:t>b</w:t>
      </w:r>
      <w:r w:rsidRPr="00A01AEB">
        <w:t xml:space="preserve">oard if </w:t>
      </w:r>
      <w:r>
        <w:t xml:space="preserve">that managing director has </w:t>
      </w:r>
      <w:r w:rsidRPr="00A01AEB">
        <w:t xml:space="preserve">a direct or indirect personal interest </w:t>
      </w:r>
      <w:r w:rsidR="0044514C">
        <w:t>on that topic</w:t>
      </w:r>
      <w:r w:rsidR="0044514C" w:rsidRPr="00A01AEB">
        <w:t xml:space="preserve"> </w:t>
      </w:r>
      <w:r w:rsidRPr="00A01AEB">
        <w:t xml:space="preserve">that conflicts with the interests of the </w:t>
      </w:r>
      <w:r>
        <w:t>c</w:t>
      </w:r>
      <w:r w:rsidRPr="00A01AEB">
        <w:t>ompany or the business connected with it.</w:t>
      </w:r>
      <w:r>
        <w:t xml:space="preserve"> Acting in deviation of this rule may lead to liability of the managing director concerned. It is therefore advised to contact Meijburg Legal, or your in-house legal counsel, to establish the correct approach if such a confli</w:t>
      </w:r>
      <w:r w:rsidR="008A09AC">
        <w:t>ct of interest scenario occurs.</w:t>
      </w:r>
    </w:p>
    <w:p w:rsidR="004F784B" w:rsidRDefault="004F784B" w:rsidP="004F784B">
      <w:pPr>
        <w:pStyle w:val="DSHeadingNoToc2"/>
        <w:rPr>
          <w:b/>
        </w:rPr>
      </w:pPr>
      <w:bookmarkStart w:id="11" w:name="_Ref36105489"/>
      <w:r w:rsidRPr="004F784B">
        <w:rPr>
          <w:b/>
        </w:rPr>
        <w:t>Vacancies or inability to act</w:t>
      </w:r>
      <w:bookmarkEnd w:id="11"/>
    </w:p>
    <w:p w:rsidR="009618B3" w:rsidRDefault="009618B3" w:rsidP="009B78B7">
      <w:pPr>
        <w:pStyle w:val="DSBodyText2"/>
      </w:pPr>
      <w:r>
        <w:t>T</w:t>
      </w:r>
      <w:r w:rsidR="009B78B7">
        <w:t xml:space="preserve">he articles of association of </w:t>
      </w:r>
      <w:r>
        <w:t>a</w:t>
      </w:r>
      <w:r w:rsidR="009B78B7">
        <w:t xml:space="preserve"> </w:t>
      </w:r>
      <w:r>
        <w:t xml:space="preserve">Dutch </w:t>
      </w:r>
      <w:r w:rsidR="009B78B7">
        <w:t xml:space="preserve">company </w:t>
      </w:r>
      <w:r>
        <w:t xml:space="preserve">will </w:t>
      </w:r>
      <w:r w:rsidR="009B78B7">
        <w:t xml:space="preserve">provide for a fall-back scenario in the event </w:t>
      </w:r>
      <w:r>
        <w:t>that seats on the management board become vacant or managing directors are no longer able to perform their task.</w:t>
      </w:r>
    </w:p>
    <w:p w:rsidR="00330BC1" w:rsidRDefault="009B78B7" w:rsidP="009B78B7">
      <w:pPr>
        <w:pStyle w:val="DSBodyText2"/>
      </w:pPr>
      <w:r>
        <w:t xml:space="preserve">Typically, the articles of association will provide that the remaining managing directors are charged with </w:t>
      </w:r>
      <w:r w:rsidR="009618B3">
        <w:t xml:space="preserve">the </w:t>
      </w:r>
      <w:r>
        <w:t xml:space="preserve">management of the company and that the management board will remain </w:t>
      </w:r>
      <w:r w:rsidR="009618B3">
        <w:t xml:space="preserve">fully </w:t>
      </w:r>
      <w:r>
        <w:t xml:space="preserve">authorised. </w:t>
      </w:r>
      <w:r w:rsidRPr="009B78B7">
        <w:t xml:space="preserve">If all seats on the </w:t>
      </w:r>
      <w:r w:rsidR="00330BC1">
        <w:t>m</w:t>
      </w:r>
      <w:r w:rsidRPr="009B78B7">
        <w:t xml:space="preserve">anagement </w:t>
      </w:r>
      <w:r w:rsidR="00330BC1">
        <w:t>b</w:t>
      </w:r>
      <w:r w:rsidRPr="009B78B7">
        <w:t xml:space="preserve">oard are vacant or </w:t>
      </w:r>
      <w:r w:rsidR="00330BC1">
        <w:t xml:space="preserve">if </w:t>
      </w:r>
      <w:r w:rsidRPr="009B78B7">
        <w:t xml:space="preserve">all </w:t>
      </w:r>
      <w:r w:rsidR="00330BC1">
        <w:t>m</w:t>
      </w:r>
      <w:r w:rsidRPr="009B78B7">
        <w:t xml:space="preserve">anaging </w:t>
      </w:r>
      <w:r w:rsidR="00330BC1">
        <w:t>d</w:t>
      </w:r>
      <w:r w:rsidRPr="009B78B7">
        <w:t>irectors</w:t>
      </w:r>
      <w:r w:rsidR="00330BC1">
        <w:t>,</w:t>
      </w:r>
      <w:r w:rsidRPr="009B78B7">
        <w:t xml:space="preserve"> or the sole </w:t>
      </w:r>
      <w:r w:rsidR="00330BC1">
        <w:t>m</w:t>
      </w:r>
      <w:r w:rsidRPr="009B78B7">
        <w:t xml:space="preserve">anaging </w:t>
      </w:r>
      <w:r w:rsidR="00330BC1">
        <w:t>d</w:t>
      </w:r>
      <w:r w:rsidRPr="009B78B7">
        <w:t>irector, as the case may be, are unable to perform their duties</w:t>
      </w:r>
      <w:r w:rsidR="00330BC1">
        <w:t>, the articles of association will typically provide that the shareholder</w:t>
      </w:r>
      <w:r w:rsidR="009618B3">
        <w:t>(</w:t>
      </w:r>
      <w:r w:rsidR="00330BC1">
        <w:t>s</w:t>
      </w:r>
      <w:r w:rsidR="009618B3">
        <w:t>)</w:t>
      </w:r>
      <w:r w:rsidR="00330BC1">
        <w:t xml:space="preserve"> may appoint one or more persons who will be temporarily entrusted with the management of the company. </w:t>
      </w:r>
    </w:p>
    <w:p w:rsidR="00330BC1" w:rsidRDefault="00330BC1" w:rsidP="009B78B7">
      <w:pPr>
        <w:pStyle w:val="DSBodyText2"/>
      </w:pPr>
      <w:r>
        <w:t>If the company has a supervisory board, the articles of association will typically provide that the supervisory directors are entrusted with the management and that the supervisory board may appoint one or more persons that will be temporarily entrusted with the management</w:t>
      </w:r>
      <w:r w:rsidR="009618B3">
        <w:t xml:space="preserve"> of the company</w:t>
      </w:r>
      <w:r>
        <w:t>. If all seats of the supervisory board are vacant or no supervisory directors are able to perform the</w:t>
      </w:r>
      <w:r w:rsidR="009618B3">
        <w:t>ir</w:t>
      </w:r>
      <w:r>
        <w:t xml:space="preserve"> duties, the shareholder</w:t>
      </w:r>
      <w:r w:rsidR="009618B3">
        <w:t>(s)</w:t>
      </w:r>
      <w:r>
        <w:t xml:space="preserve"> shall typically be authorised to appoint one or more persons who will be temporarily entrusted with the management of the company.</w:t>
      </w:r>
    </w:p>
    <w:p w:rsidR="00D002BC" w:rsidRPr="000254A4" w:rsidRDefault="00D002BC" w:rsidP="000254A4">
      <w:pPr>
        <w:pStyle w:val="DSBodyText2"/>
      </w:pPr>
      <w:r w:rsidRPr="000254A4">
        <w:t>It is important to check the articles of association to ensure that this mechanism is in play and provides the company with the necessary flexibility in times of crisis.</w:t>
      </w:r>
    </w:p>
    <w:p w:rsidR="00EA1897" w:rsidRPr="009B78B7" w:rsidRDefault="00EA1897" w:rsidP="009B78B7">
      <w:pPr>
        <w:pStyle w:val="DSHeadingNoToc2"/>
        <w:rPr>
          <w:b/>
        </w:rPr>
      </w:pPr>
      <w:r w:rsidRPr="009B78B7">
        <w:rPr>
          <w:b/>
        </w:rPr>
        <w:t>Representation</w:t>
      </w:r>
    </w:p>
    <w:p w:rsidR="009C36D1" w:rsidRDefault="009C36D1" w:rsidP="009C36D1">
      <w:pPr>
        <w:pStyle w:val="DSBodyText2"/>
      </w:pPr>
      <w:r w:rsidRPr="009C36D1">
        <w:t>The management board</w:t>
      </w:r>
      <w:r w:rsidR="00BB15CC">
        <w:t xml:space="preserve"> as a whole</w:t>
      </w:r>
      <w:r w:rsidRPr="009C36D1">
        <w:t xml:space="preserve"> </w:t>
      </w:r>
      <w:r>
        <w:t xml:space="preserve">(i.e. all managing directors) </w:t>
      </w:r>
      <w:r w:rsidRPr="009C36D1">
        <w:t xml:space="preserve">is authorised to represent and bind the company towards third parties. </w:t>
      </w:r>
      <w:r>
        <w:t xml:space="preserve">Often the articles of association also provide that one managing director acting solely, or two </w:t>
      </w:r>
      <w:r w:rsidR="009618B3">
        <w:t xml:space="preserve">or more </w:t>
      </w:r>
      <w:r>
        <w:t xml:space="preserve">managing directors acting jointly, are authorised to represent the company. </w:t>
      </w:r>
    </w:p>
    <w:p w:rsidR="009C36D1" w:rsidRDefault="009C36D1" w:rsidP="009C36D1">
      <w:pPr>
        <w:pStyle w:val="DSBodyText2"/>
      </w:pPr>
      <w:r>
        <w:t xml:space="preserve">If, due to the Corona measures or otherwise, </w:t>
      </w:r>
      <w:r w:rsidR="009618B3">
        <w:t xml:space="preserve">the company has a need to grant more persons with the authority to represent the company, the </w:t>
      </w:r>
      <w:r>
        <w:t xml:space="preserve">management board can appoint one or more proxy-holders </w:t>
      </w:r>
      <w:r w:rsidR="009618B3">
        <w:t xml:space="preserve">for that purpose. </w:t>
      </w:r>
      <w:r>
        <w:t>The management board may appoint a</w:t>
      </w:r>
      <w:r w:rsidR="009618B3">
        <w:t>ny person</w:t>
      </w:r>
      <w:r w:rsidR="00D002BC">
        <w:t xml:space="preserve"> (also third parties, not related to the management of the </w:t>
      </w:r>
      <w:r w:rsidR="00D002BC">
        <w:lastRenderedPageBreak/>
        <w:t>company</w:t>
      </w:r>
      <w:r w:rsidR="000254A4">
        <w:t>)</w:t>
      </w:r>
      <w:r w:rsidR="009618B3">
        <w:t xml:space="preserve">, even a </w:t>
      </w:r>
      <w:r>
        <w:t xml:space="preserve">managing director </w:t>
      </w:r>
      <w:r w:rsidR="009618B3">
        <w:t>that ordinarily would be jointly authorised to represent the company</w:t>
      </w:r>
      <w:r>
        <w:t xml:space="preserve">. This managing director then acts in capacity as proxy-holder instead of managing director. </w:t>
      </w:r>
      <w:r w:rsidR="00D002BC">
        <w:t>The responsibility for the legal act performed by the proxy-holder, will remain with the managing director(s) granting such powers</w:t>
      </w:r>
      <w:r w:rsidR="000254A4">
        <w:t xml:space="preserve"> of attorney</w:t>
      </w:r>
      <w:r w:rsidR="00D002BC">
        <w:t xml:space="preserve">. </w:t>
      </w:r>
      <w:r w:rsidR="00577C6A">
        <w:t>The power of attorney granted can be registered with the Dutch trade register</w:t>
      </w:r>
      <w:r w:rsidR="008C2356">
        <w:t>.</w:t>
      </w:r>
    </w:p>
    <w:p w:rsidR="00A01AEB" w:rsidRDefault="003F4E8F" w:rsidP="00DA07A7">
      <w:pPr>
        <w:pStyle w:val="DSHeadingNoToc1"/>
      </w:pPr>
      <w:r>
        <w:t xml:space="preserve">The </w:t>
      </w:r>
      <w:r w:rsidR="00AF6AEB">
        <w:t>s</w:t>
      </w:r>
      <w:r>
        <w:t xml:space="preserve">upervisory </w:t>
      </w:r>
      <w:r w:rsidR="00AF6AEB">
        <w:t>b</w:t>
      </w:r>
      <w:r>
        <w:t>oard</w:t>
      </w:r>
    </w:p>
    <w:p w:rsidR="00A01AEB" w:rsidRDefault="0045074E" w:rsidP="00A01AEB">
      <w:pPr>
        <w:pStyle w:val="DSHeadingNoToc2"/>
      </w:pPr>
      <w:r>
        <w:t xml:space="preserve">The supervisory board supervises the management board of the company and provides advice. Although beyond the scope of this memorandum, it is important to </w:t>
      </w:r>
      <w:r w:rsidR="007A0152">
        <w:t>mention</w:t>
      </w:r>
      <w:r>
        <w:t xml:space="preserve"> that </w:t>
      </w:r>
      <w:r w:rsidRPr="0045074E">
        <w:t xml:space="preserve">the </w:t>
      </w:r>
      <w:r>
        <w:t>s</w:t>
      </w:r>
      <w:r w:rsidRPr="0045074E">
        <w:t xml:space="preserve">upervisory </w:t>
      </w:r>
      <w:r>
        <w:t>b</w:t>
      </w:r>
      <w:r w:rsidRPr="0045074E">
        <w:t xml:space="preserve">oard </w:t>
      </w:r>
      <w:r>
        <w:t>needs information from the management board in order to fulfil its duties, especially in distressed situations.</w:t>
      </w:r>
      <w:r w:rsidRPr="0045074E">
        <w:t xml:space="preserve"> The </w:t>
      </w:r>
      <w:r>
        <w:t>s</w:t>
      </w:r>
      <w:r w:rsidRPr="0045074E">
        <w:t xml:space="preserve">upervisory </w:t>
      </w:r>
      <w:r>
        <w:t>b</w:t>
      </w:r>
      <w:r w:rsidRPr="0045074E">
        <w:t xml:space="preserve">oard should actively ensure that it </w:t>
      </w:r>
      <w:r w:rsidR="001462AB">
        <w:t xml:space="preserve">receives such information </w:t>
      </w:r>
      <w:r w:rsidRPr="0045074E">
        <w:t>and is required to take action when necessary.</w:t>
      </w:r>
      <w:r w:rsidR="001462AB">
        <w:t xml:space="preserve"> </w:t>
      </w:r>
      <w:r w:rsidR="007A0152">
        <w:t xml:space="preserve">Upon request, </w:t>
      </w:r>
      <w:r w:rsidR="001462AB">
        <w:t xml:space="preserve">Meijburg Legal is happy to </w:t>
      </w:r>
      <w:r w:rsidR="007A0152">
        <w:t>provide</w:t>
      </w:r>
      <w:r w:rsidR="001462AB">
        <w:t xml:space="preserve"> you </w:t>
      </w:r>
      <w:r w:rsidR="007A0152">
        <w:t xml:space="preserve">with </w:t>
      </w:r>
      <w:r w:rsidR="001462AB">
        <w:t>further guidance in respect of duties and liabilities of managing and supervisory directors.</w:t>
      </w:r>
    </w:p>
    <w:p w:rsidR="00D67280" w:rsidRDefault="009C36D1" w:rsidP="00A01AEB">
      <w:pPr>
        <w:pStyle w:val="DSHeadingNoToc2"/>
      </w:pPr>
      <w:r>
        <w:t xml:space="preserve">The paragraphs describing </w:t>
      </w:r>
      <w:r w:rsidR="0045074E">
        <w:t xml:space="preserve">cancellation and postponements of meetings, </w:t>
      </w:r>
      <w:r>
        <w:t>tele-meetings, powers of attorney, allocation of tasks, written resolutions</w:t>
      </w:r>
      <w:r w:rsidR="00A01AEB">
        <w:t>, conflicts of interest</w:t>
      </w:r>
      <w:r>
        <w:t xml:space="preserve"> and vacancies or inability to act apply </w:t>
      </w:r>
      <w:r w:rsidRPr="009618B3">
        <w:rPr>
          <w:i/>
        </w:rPr>
        <w:t>mutatis mutandis</w:t>
      </w:r>
      <w:r>
        <w:t xml:space="preserve"> to </w:t>
      </w:r>
      <w:r w:rsidR="00BB15CC">
        <w:t xml:space="preserve">meetings of </w:t>
      </w:r>
      <w:r>
        <w:t xml:space="preserve">the supervisory board of a company. </w:t>
      </w:r>
    </w:p>
    <w:p w:rsidR="00577C6A" w:rsidRDefault="009C36D1" w:rsidP="00577C6A">
      <w:pPr>
        <w:pStyle w:val="DSBodyText2"/>
      </w:pPr>
      <w:r>
        <w:t>The supervisory board and supervisory directors are in principle not allowed to represent and bind the company towards third parties.</w:t>
      </w:r>
      <w:r w:rsidR="00577C6A">
        <w:t xml:space="preserve"> </w:t>
      </w:r>
      <w:r w:rsidR="00577C6A" w:rsidRPr="00577C6A">
        <w:t>This may be different in the event that supervisory directors have been appointed as persons that temporarily manage the company pursuant to the absence or inability to act of managing directors</w:t>
      </w:r>
      <w:r w:rsidR="00577C6A">
        <w:t xml:space="preserve"> (see paragraph </w:t>
      </w:r>
      <w:r w:rsidR="00577C6A">
        <w:fldChar w:fldCharType="begin"/>
      </w:r>
      <w:r w:rsidR="00577C6A">
        <w:instrText xml:space="preserve"> REF _Ref36105489 \r \h </w:instrText>
      </w:r>
      <w:r w:rsidR="00577C6A">
        <w:fldChar w:fldCharType="separate"/>
      </w:r>
      <w:r w:rsidR="00ED5D30">
        <w:t>2.11</w:t>
      </w:r>
      <w:r w:rsidR="00577C6A">
        <w:fldChar w:fldCharType="end"/>
      </w:r>
      <w:r w:rsidR="00577C6A">
        <w:t xml:space="preserve">). </w:t>
      </w:r>
      <w:r w:rsidR="00577C6A" w:rsidRPr="00577C6A">
        <w:t>It is advised to contact Meijburg Legal if this scenario occurs.</w:t>
      </w:r>
    </w:p>
    <w:p w:rsidR="00663F98" w:rsidRPr="00A03FF3" w:rsidRDefault="00663F98" w:rsidP="00A2104D">
      <w:pPr>
        <w:pStyle w:val="DSHeadingNoToc1"/>
      </w:pPr>
      <w:bookmarkStart w:id="12" w:name="_Ref36730517"/>
      <w:r w:rsidRPr="00A03FF3">
        <w:t>Tax</w:t>
      </w:r>
      <w:bookmarkEnd w:id="12"/>
    </w:p>
    <w:p w:rsidR="00A2104D" w:rsidRDefault="00A2104D" w:rsidP="00A2104D">
      <w:pPr>
        <w:pStyle w:val="DSHeadingNoToc2"/>
      </w:pPr>
      <w:r>
        <w:t>T</w:t>
      </w:r>
      <w:r w:rsidR="00663F98">
        <w:t xml:space="preserve">he governance of companies may have an impact on tax </w:t>
      </w:r>
      <w:r w:rsidR="003D00F5">
        <w:t>matters to</w:t>
      </w:r>
      <w:r w:rsidR="00D321D8">
        <w:t>o</w:t>
      </w:r>
      <w:r w:rsidR="008E57B6">
        <w:t>.</w:t>
      </w:r>
      <w:r w:rsidR="00663F98">
        <w:t xml:space="preserve"> </w:t>
      </w:r>
      <w:r w:rsidR="00EA19CE">
        <w:t>Fir</w:t>
      </w:r>
      <w:r w:rsidR="00663F98">
        <w:t>st of all</w:t>
      </w:r>
      <w:r w:rsidR="006B45D6">
        <w:t>,</w:t>
      </w:r>
      <w:r w:rsidR="00663F98">
        <w:t xml:space="preserve"> governance</w:t>
      </w:r>
      <w:r w:rsidR="006B45D6">
        <w:t xml:space="preserve"> </w:t>
      </w:r>
      <w:r w:rsidR="00663F98">
        <w:t>may be relevant for determining the country of residence</w:t>
      </w:r>
      <w:r>
        <w:t xml:space="preserve"> of a company</w:t>
      </w:r>
      <w:r w:rsidR="00663F98">
        <w:t xml:space="preserve"> for t</w:t>
      </w:r>
      <w:r w:rsidR="00EA19CE">
        <w:t>a</w:t>
      </w:r>
      <w:r w:rsidR="00663F98">
        <w:t>x purposes. A distinction must be made between the place of residence under domestic law</w:t>
      </w:r>
      <w:r w:rsidR="0095183E">
        <w:t xml:space="preserve"> (see </w:t>
      </w:r>
      <w:r>
        <w:t xml:space="preserve">paragraph </w:t>
      </w:r>
      <w:r w:rsidR="00C536FB">
        <w:fldChar w:fldCharType="begin"/>
      </w:r>
      <w:r w:rsidR="00C536FB">
        <w:instrText xml:space="preserve"> REF _Ref36731091 \r \h </w:instrText>
      </w:r>
      <w:r w:rsidR="00C536FB">
        <w:fldChar w:fldCharType="separate"/>
      </w:r>
      <w:r w:rsidR="00ED5D30">
        <w:t>4.4</w:t>
      </w:r>
      <w:r w:rsidR="00C536FB">
        <w:fldChar w:fldCharType="end"/>
      </w:r>
      <w:r w:rsidR="008E57B6">
        <w:t>)</w:t>
      </w:r>
      <w:r w:rsidR="00663F98">
        <w:t>, and the place of residence for tax treaty purposes</w:t>
      </w:r>
      <w:r w:rsidR="008E57B6">
        <w:t xml:space="preserve"> (see</w:t>
      </w:r>
      <w:r>
        <w:t xml:space="preserve"> paragraph</w:t>
      </w:r>
      <w:r w:rsidR="00D321D8">
        <w:t xml:space="preserve"> </w:t>
      </w:r>
      <w:r w:rsidR="00D321D8">
        <w:fldChar w:fldCharType="begin"/>
      </w:r>
      <w:r w:rsidR="00D321D8">
        <w:instrText xml:space="preserve"> REF _Ref37238306 \r \h </w:instrText>
      </w:r>
      <w:r w:rsidR="00D321D8">
        <w:fldChar w:fldCharType="separate"/>
      </w:r>
      <w:r w:rsidR="00ED5D30">
        <w:t>4.5</w:t>
      </w:r>
      <w:r w:rsidR="00D321D8">
        <w:fldChar w:fldCharType="end"/>
      </w:r>
      <w:r w:rsidR="0095183E">
        <w:t>)</w:t>
      </w:r>
      <w:r w:rsidR="00663F98">
        <w:t xml:space="preserve">. </w:t>
      </w:r>
      <w:r w:rsidR="0095183E">
        <w:t xml:space="preserve">Should a company cease </w:t>
      </w:r>
      <w:r w:rsidR="008E57B6">
        <w:t>to be resident in the Netherland</w:t>
      </w:r>
      <w:r w:rsidR="0095183E">
        <w:t xml:space="preserve">s </w:t>
      </w:r>
      <w:r w:rsidR="008E57B6">
        <w:t>(</w:t>
      </w:r>
      <w:r w:rsidR="0095183E">
        <w:t>or another jurisdiction</w:t>
      </w:r>
      <w:r w:rsidR="008E57B6">
        <w:t>)</w:t>
      </w:r>
      <w:r w:rsidR="006B45D6">
        <w:t xml:space="preserve"> due to, for example governance changes</w:t>
      </w:r>
      <w:r w:rsidR="0095183E">
        <w:t>, this may have an impact on co</w:t>
      </w:r>
      <w:r w:rsidR="008E57B6">
        <w:t>r</w:t>
      </w:r>
      <w:r w:rsidR="0095183E">
        <w:t>p</w:t>
      </w:r>
      <w:r w:rsidR="008E57B6">
        <w:t>o</w:t>
      </w:r>
      <w:r w:rsidR="0095183E">
        <w:t>rate income tax (</w:t>
      </w:r>
      <w:r w:rsidR="008E57B6">
        <w:t>for example because of exit taxes</w:t>
      </w:r>
      <w:r w:rsidR="0095183E">
        <w:t xml:space="preserve"> or </w:t>
      </w:r>
      <w:r w:rsidR="008E57B6">
        <w:t>the non-eligibility to tax treaty benefits)</w:t>
      </w:r>
      <w:r w:rsidR="001645CB">
        <w:t>. It is therefore advised to consult with Meijburg Tax as well if governance is discussed and considered.</w:t>
      </w:r>
    </w:p>
    <w:p w:rsidR="008E57B6" w:rsidRDefault="00A2104D" w:rsidP="00A2104D">
      <w:pPr>
        <w:pStyle w:val="DSHeadingNoToc2"/>
      </w:pPr>
      <w:r>
        <w:t>D</w:t>
      </w:r>
      <w:r w:rsidR="008E57B6">
        <w:t xml:space="preserve">ue to changes in </w:t>
      </w:r>
      <w:r w:rsidR="00EA19CE">
        <w:t>governance</w:t>
      </w:r>
      <w:r>
        <w:t>,</w:t>
      </w:r>
      <w:r w:rsidR="001645CB">
        <w:t xml:space="preserve"> it may be that</w:t>
      </w:r>
      <w:r>
        <w:t xml:space="preserve"> tax</w:t>
      </w:r>
      <w:r w:rsidR="00EA19CE">
        <w:t xml:space="preserve"> substance requirements </w:t>
      </w:r>
      <w:r w:rsidR="001645CB">
        <w:t>are</w:t>
      </w:r>
      <w:r w:rsidR="008E57B6">
        <w:t xml:space="preserve"> no longer met. These substance criteria a</w:t>
      </w:r>
      <w:r w:rsidR="00EA19CE">
        <w:t xml:space="preserve">re relevant for several issues, such as </w:t>
      </w:r>
      <w:r w:rsidR="00EA19CE">
        <w:lastRenderedPageBreak/>
        <w:t>dividend withholding tax exemptions</w:t>
      </w:r>
      <w:r w:rsidR="0095183E">
        <w:t xml:space="preserve"> </w:t>
      </w:r>
      <w:r w:rsidR="008259B7">
        <w:t xml:space="preserve">and the international exchange of information </w:t>
      </w:r>
      <w:r w:rsidR="0095183E">
        <w:t xml:space="preserve">(see </w:t>
      </w:r>
      <w:r>
        <w:t xml:space="preserve">paragraph </w:t>
      </w:r>
      <w:r w:rsidR="00D321D8">
        <w:fldChar w:fldCharType="begin"/>
      </w:r>
      <w:r w:rsidR="00D321D8">
        <w:instrText xml:space="preserve"> REF _Ref37238323 \r \h </w:instrText>
      </w:r>
      <w:r w:rsidR="00D321D8">
        <w:fldChar w:fldCharType="separate"/>
      </w:r>
      <w:r w:rsidR="00ED5D30">
        <w:t>4.6</w:t>
      </w:r>
      <w:r w:rsidR="00D321D8">
        <w:fldChar w:fldCharType="end"/>
      </w:r>
      <w:r w:rsidR="0095183E">
        <w:t>)</w:t>
      </w:r>
      <w:r w:rsidR="00EA19CE">
        <w:t>.</w:t>
      </w:r>
      <w:r w:rsidR="0095183E">
        <w:t xml:space="preserve"> </w:t>
      </w:r>
      <w:r w:rsidR="00140CEE">
        <w:t xml:space="preserve">Finally, where an advance tax ruling is based upon facts relating to the governance, the change in governance could potentially cast doubt upon the validity of the ruling. </w:t>
      </w:r>
    </w:p>
    <w:p w:rsidR="0095183E" w:rsidRDefault="00A2104D" w:rsidP="00A2104D">
      <w:pPr>
        <w:pStyle w:val="DSHeadingNoToc2"/>
      </w:pPr>
      <w:r>
        <w:t>T</w:t>
      </w:r>
      <w:r w:rsidR="0095183E">
        <w:t>ypically, a temporary lack of substance in the Netherlands (or abroad) will not result in a deemed migration</w:t>
      </w:r>
      <w:r>
        <w:t xml:space="preserve"> of the company</w:t>
      </w:r>
      <w:r w:rsidR="0095183E">
        <w:t>. Should the lack of substance continue for a long</w:t>
      </w:r>
      <w:r w:rsidR="008E57B6">
        <w:t>e</w:t>
      </w:r>
      <w:r w:rsidR="0095183E">
        <w:t xml:space="preserve">r period, this is however something to address. Application of substance criteria is typically assessed on a continuous basis. </w:t>
      </w:r>
      <w:r w:rsidR="008E57B6">
        <w:t>Therefore</w:t>
      </w:r>
      <w:r w:rsidR="00482B22">
        <w:t>,</w:t>
      </w:r>
      <w:r w:rsidR="008E57B6">
        <w:t xml:space="preserve"> these issues should be closely monitored</w:t>
      </w:r>
      <w:r w:rsidR="0095183E">
        <w:t xml:space="preserve">. </w:t>
      </w:r>
      <w:r w:rsidR="001645CB">
        <w:t xml:space="preserve">Meijburg Tax is available to assist you in these matters. </w:t>
      </w:r>
    </w:p>
    <w:p w:rsidR="00C536FB" w:rsidRPr="00C536FB" w:rsidRDefault="00C536FB" w:rsidP="00A2104D">
      <w:pPr>
        <w:pStyle w:val="DSHeadingNoToc2"/>
        <w:rPr>
          <w:b/>
        </w:rPr>
      </w:pPr>
      <w:bookmarkStart w:id="13" w:name="_Ref36731091"/>
      <w:r w:rsidRPr="00C536FB">
        <w:rPr>
          <w:b/>
        </w:rPr>
        <w:t>Domestic resident</w:t>
      </w:r>
      <w:bookmarkEnd w:id="13"/>
      <w:r w:rsidRPr="00C536FB">
        <w:rPr>
          <w:b/>
        </w:rPr>
        <w:t xml:space="preserve"> </w:t>
      </w:r>
    </w:p>
    <w:p w:rsidR="00663F98" w:rsidRDefault="00C536FB" w:rsidP="00C536FB">
      <w:pPr>
        <w:pStyle w:val="DSBodyText2"/>
      </w:pPr>
      <w:r>
        <w:t xml:space="preserve">Pursuant to </w:t>
      </w:r>
      <w:r w:rsidR="00EA19CE">
        <w:t>D</w:t>
      </w:r>
      <w:r w:rsidR="00663F98">
        <w:t xml:space="preserve">utch </w:t>
      </w:r>
      <w:r>
        <w:t xml:space="preserve">tax </w:t>
      </w:r>
      <w:r w:rsidR="00663F98">
        <w:t>law</w:t>
      </w:r>
      <w:r>
        <w:t>s</w:t>
      </w:r>
      <w:r w:rsidR="00663F98">
        <w:t xml:space="preserve">, a company incorporated under </w:t>
      </w:r>
      <w:r>
        <w:t xml:space="preserve">the </w:t>
      </w:r>
      <w:r w:rsidR="00663F98">
        <w:t>law</w:t>
      </w:r>
      <w:r>
        <w:t>s of the Netherlands</w:t>
      </w:r>
      <w:r w:rsidR="00663F98">
        <w:t xml:space="preserve"> is deemed to be resident in the Nethe</w:t>
      </w:r>
      <w:r w:rsidR="008E57B6">
        <w:t>rla</w:t>
      </w:r>
      <w:r w:rsidR="00663F98">
        <w:t xml:space="preserve">nds. </w:t>
      </w:r>
      <w:r w:rsidR="008E57B6">
        <w:t>For</w:t>
      </w:r>
      <w:r w:rsidR="00A03FF3">
        <w:t xml:space="preserve"> o</w:t>
      </w:r>
      <w:r w:rsidR="00663F98">
        <w:t xml:space="preserve">ther companies </w:t>
      </w:r>
      <w:r w:rsidR="00A03FF3">
        <w:t xml:space="preserve">(not incorporated under </w:t>
      </w:r>
      <w:r>
        <w:t>the laws of the Netherlands</w:t>
      </w:r>
      <w:r w:rsidR="00A03FF3">
        <w:t>), the place of residence is determined on the basis of a factual test. According to case law</w:t>
      </w:r>
      <w:r>
        <w:t>,</w:t>
      </w:r>
      <w:r w:rsidR="00A03FF3">
        <w:t xml:space="preserve"> a company is in principle considered to be resident in the Netherlands if </w:t>
      </w:r>
      <w:r w:rsidR="00A2786E">
        <w:t>the member</w:t>
      </w:r>
      <w:r w:rsidR="001D08D0">
        <w:t>s</w:t>
      </w:r>
      <w:r w:rsidR="00A2786E">
        <w:t xml:space="preserve"> of the </w:t>
      </w:r>
      <w:r w:rsidR="00A03FF3">
        <w:t>management</w:t>
      </w:r>
      <w:r w:rsidR="00EA19CE">
        <w:t xml:space="preserve"> board </w:t>
      </w:r>
      <w:r w:rsidR="00A2786E">
        <w:t>take the rel</w:t>
      </w:r>
      <w:r w:rsidR="001D08D0">
        <w:t>e</w:t>
      </w:r>
      <w:r w:rsidR="00A2786E">
        <w:t xml:space="preserve">vant decisions (i.e. decisions </w:t>
      </w:r>
      <w:r w:rsidR="00A2786E" w:rsidRPr="001D08D0">
        <w:t>as a senior exec</w:t>
      </w:r>
      <w:r w:rsidR="001D08D0" w:rsidRPr="001D08D0">
        <w:t>u</w:t>
      </w:r>
      <w:r w:rsidR="00A2786E" w:rsidRPr="001D08D0">
        <w:t>tive</w:t>
      </w:r>
      <w:r w:rsidR="00A2786E">
        <w:t>, not day-to-day management</w:t>
      </w:r>
      <w:r w:rsidR="001D08D0">
        <w:t>) primarily in the Netherlands. This is not limit</w:t>
      </w:r>
      <w:r w:rsidR="00EA19CE">
        <w:t>ed to</w:t>
      </w:r>
      <w:r w:rsidR="001D08D0">
        <w:t xml:space="preserve"> </w:t>
      </w:r>
      <w:r>
        <w:t xml:space="preserve">management </w:t>
      </w:r>
      <w:r w:rsidR="00EA19CE">
        <w:t>bo</w:t>
      </w:r>
      <w:r w:rsidR="001D08D0">
        <w:t>a</w:t>
      </w:r>
      <w:r w:rsidR="001645CB">
        <w:t>rd meetings; a</w:t>
      </w:r>
      <w:r w:rsidR="00EA19CE">
        <w:t xml:space="preserve">ll relevant </w:t>
      </w:r>
      <w:r w:rsidR="00A2786E">
        <w:t>decisions</w:t>
      </w:r>
      <w:r w:rsidR="00EA19CE">
        <w:t xml:space="preserve"> by the members of the managemen</w:t>
      </w:r>
      <w:r>
        <w:t>t board are taken into account.</w:t>
      </w:r>
    </w:p>
    <w:p w:rsidR="00C536FB" w:rsidRPr="00C536FB" w:rsidRDefault="00C536FB" w:rsidP="00C536FB">
      <w:pPr>
        <w:pStyle w:val="DSHeadingNoToc2"/>
        <w:rPr>
          <w:b/>
        </w:rPr>
      </w:pPr>
      <w:bookmarkStart w:id="14" w:name="_Ref37238306"/>
      <w:r w:rsidRPr="00C536FB">
        <w:rPr>
          <w:b/>
        </w:rPr>
        <w:t>Residence for tax treaty purposes</w:t>
      </w:r>
      <w:bookmarkEnd w:id="14"/>
    </w:p>
    <w:p w:rsidR="001D08D0" w:rsidRDefault="00BA5FB5" w:rsidP="00C536FB">
      <w:pPr>
        <w:pStyle w:val="DSBodyText2"/>
      </w:pPr>
      <w:r>
        <w:t xml:space="preserve">Under tax treaties, a company is considered a </w:t>
      </w:r>
      <w:r w:rsidRPr="00C536FB">
        <w:t>resident</w:t>
      </w:r>
      <w:r w:rsidR="00C536FB">
        <w:t xml:space="preserve"> of a </w:t>
      </w:r>
      <w:r w:rsidR="00BB1B35">
        <w:t>C</w:t>
      </w:r>
      <w:r>
        <w:t xml:space="preserve">ontracting </w:t>
      </w:r>
      <w:r w:rsidR="00BB1B35">
        <w:t>S</w:t>
      </w:r>
      <w:r>
        <w:t>tate if it is liable to tax in th</w:t>
      </w:r>
      <w:r w:rsidR="001D08D0">
        <w:t>a</w:t>
      </w:r>
      <w:r>
        <w:t xml:space="preserve">t </w:t>
      </w:r>
      <w:r w:rsidR="00BB1B35">
        <w:t xml:space="preserve">Contracting </w:t>
      </w:r>
      <w:r>
        <w:t xml:space="preserve">State on the basis of residence or any similar criterion. Should a company be </w:t>
      </w:r>
      <w:r w:rsidR="001645CB">
        <w:t xml:space="preserve">a </w:t>
      </w:r>
      <w:r>
        <w:t xml:space="preserve">resident </w:t>
      </w:r>
      <w:r w:rsidR="001D08D0">
        <w:t>of both Contracting S</w:t>
      </w:r>
      <w:r>
        <w:t xml:space="preserve">tates under their domestic law, a </w:t>
      </w:r>
      <w:r w:rsidR="00BB1B35">
        <w:t xml:space="preserve">so-called </w:t>
      </w:r>
      <w:r>
        <w:t>tie-breaker wi</w:t>
      </w:r>
      <w:r w:rsidR="001D08D0">
        <w:t>l</w:t>
      </w:r>
      <w:r>
        <w:t xml:space="preserve">l typically resolve this conflict. </w:t>
      </w:r>
      <w:r w:rsidR="001D08D0">
        <w:t>Under the majority of tax treaties the tie is broken by the place of effective management</w:t>
      </w:r>
      <w:r w:rsidR="00BB1B35">
        <w:t xml:space="preserve"> of the company</w:t>
      </w:r>
      <w:r w:rsidR="001D08D0">
        <w:t xml:space="preserve">. </w:t>
      </w:r>
      <w:r w:rsidR="00BB1B35">
        <w:t>‘Effective management’</w:t>
      </w:r>
      <w:r w:rsidR="001D08D0">
        <w:t xml:space="preserve"> is decided on the basis of v</w:t>
      </w:r>
      <w:r w:rsidR="001D08D0" w:rsidRPr="00BA5FB5">
        <w:t xml:space="preserve">arious factors, such as where the meetings of the </w:t>
      </w:r>
      <w:r w:rsidR="00BB1B35">
        <w:t xml:space="preserve">management board </w:t>
      </w:r>
      <w:r w:rsidR="001D08D0" w:rsidRPr="00BA5FB5">
        <w:t xml:space="preserve">are usually held, where the chief executive officer and other senior executives usually carry on their activities, where the senior day-to-day management of the </w:t>
      </w:r>
      <w:r w:rsidR="00B7504B">
        <w:t>company</w:t>
      </w:r>
      <w:r w:rsidR="00B7504B" w:rsidRPr="00BA5FB5">
        <w:t xml:space="preserve"> </w:t>
      </w:r>
      <w:r w:rsidR="001D08D0" w:rsidRPr="00BA5FB5">
        <w:t xml:space="preserve">is carried on, where the </w:t>
      </w:r>
      <w:r w:rsidR="00B7504B">
        <w:t>company</w:t>
      </w:r>
      <w:r w:rsidR="00B7504B" w:rsidRPr="00BA5FB5">
        <w:t xml:space="preserve">’s </w:t>
      </w:r>
      <w:r w:rsidR="001D08D0" w:rsidRPr="00BA5FB5">
        <w:t xml:space="preserve">headquarters are located, </w:t>
      </w:r>
      <w:r w:rsidR="001D08D0">
        <w:t xml:space="preserve">et cetera. </w:t>
      </w:r>
      <w:r w:rsidR="00482B22">
        <w:t xml:space="preserve">In case of persisting disagreement between the </w:t>
      </w:r>
      <w:r w:rsidR="001645CB">
        <w:t xml:space="preserve">company (as </w:t>
      </w:r>
      <w:r w:rsidR="00482B22">
        <w:t>tax payer</w:t>
      </w:r>
      <w:r w:rsidR="001645CB">
        <w:t>)</w:t>
      </w:r>
      <w:r w:rsidR="00482B22">
        <w:t xml:space="preserve"> and the tax authorities</w:t>
      </w:r>
      <w:r w:rsidR="00BB1B35">
        <w:t>,</w:t>
      </w:r>
      <w:r w:rsidR="001645CB">
        <w:t xml:space="preserve"> a court</w:t>
      </w:r>
      <w:r w:rsidR="00482B22">
        <w:t xml:space="preserve"> may decide on the treaty residence of </w:t>
      </w:r>
      <w:r w:rsidR="00FD018D">
        <w:t>the</w:t>
      </w:r>
      <w:r w:rsidR="00482B22">
        <w:t xml:space="preserve"> company. However, o</w:t>
      </w:r>
      <w:r w:rsidR="001D08D0">
        <w:t>ther (</w:t>
      </w:r>
      <w:r w:rsidR="00FD018D">
        <w:t xml:space="preserve">more </w:t>
      </w:r>
      <w:r w:rsidR="001D08D0">
        <w:t xml:space="preserve">modern) tax treaties refer to a mutual agreement procedure in order to break the tie. In that case, </w:t>
      </w:r>
      <w:r w:rsidR="00FD018D">
        <w:t xml:space="preserve">the </w:t>
      </w:r>
      <w:r w:rsidR="001D08D0">
        <w:t>c</w:t>
      </w:r>
      <w:r w:rsidRPr="00BA5FB5">
        <w:t>ompetent authorities would be expected to take account of</w:t>
      </w:r>
      <w:r w:rsidR="001D08D0">
        <w:t xml:space="preserve"> abovementioned factors</w:t>
      </w:r>
      <w:r w:rsidR="00482B22">
        <w:t xml:space="preserve"> and decide on the treaty residence</w:t>
      </w:r>
      <w:r w:rsidR="001D08D0">
        <w:t>.</w:t>
      </w:r>
      <w:r w:rsidR="00482B22">
        <w:t xml:space="preserve"> In some of these</w:t>
      </w:r>
      <w:r w:rsidR="00BB1B35">
        <w:t xml:space="preserve"> tax</w:t>
      </w:r>
      <w:r w:rsidR="00482B22">
        <w:t xml:space="preserve"> treaties such a decision may be subjected to arbitration.</w:t>
      </w:r>
    </w:p>
    <w:p w:rsidR="00BB1B35" w:rsidRPr="00BB1B35" w:rsidRDefault="00BB1B35" w:rsidP="00BB1B35">
      <w:pPr>
        <w:pStyle w:val="DSHeadingNoToc2"/>
        <w:rPr>
          <w:b/>
        </w:rPr>
      </w:pPr>
      <w:bookmarkStart w:id="15" w:name="_Ref37238323"/>
      <w:r w:rsidRPr="00BB1B35">
        <w:rPr>
          <w:b/>
        </w:rPr>
        <w:t>Substance criteria</w:t>
      </w:r>
      <w:bookmarkEnd w:id="15"/>
    </w:p>
    <w:p w:rsidR="008259B7" w:rsidRDefault="003B6A01" w:rsidP="00BB1B35">
      <w:pPr>
        <w:pStyle w:val="DSBodyText2"/>
      </w:pPr>
      <w:r>
        <w:lastRenderedPageBreak/>
        <w:t>Substance</w:t>
      </w:r>
      <w:r w:rsidR="00786E41">
        <w:t xml:space="preserve"> criteria are r</w:t>
      </w:r>
      <w:r w:rsidR="00066F1C">
        <w:t>elevant for the application of</w:t>
      </w:r>
      <w:r w:rsidR="00786E41">
        <w:t xml:space="preserve"> dividend withholding tax exemption</w:t>
      </w:r>
      <w:r w:rsidR="00066F1C">
        <w:t>s</w:t>
      </w:r>
      <w:r w:rsidR="00BB1B35">
        <w:t xml:space="preserve"> in cross-</w:t>
      </w:r>
      <w:r>
        <w:t>border situations</w:t>
      </w:r>
      <w:r w:rsidR="00786E41">
        <w:t xml:space="preserve">. An exemption may be applicable </w:t>
      </w:r>
      <w:r w:rsidR="001D08D0">
        <w:t>if the parent compan</w:t>
      </w:r>
      <w:r w:rsidR="00786E41">
        <w:t>y of a Dutch subsi</w:t>
      </w:r>
      <w:r w:rsidR="00BB1B35">
        <w:t>diary is resident in another EU or EEA Member State or a C</w:t>
      </w:r>
      <w:r w:rsidR="00786E41">
        <w:t xml:space="preserve">ontracting </w:t>
      </w:r>
      <w:r w:rsidR="00BB1B35">
        <w:t>S</w:t>
      </w:r>
      <w:r w:rsidR="00786E41">
        <w:t>tate that has conclud</w:t>
      </w:r>
      <w:r w:rsidR="001D08D0">
        <w:t>ed a tax treaty with the Netherlands</w:t>
      </w:r>
      <w:r w:rsidR="00786E41">
        <w:t>. If a list of substance criteria is not met, the holding may be considered to b</w:t>
      </w:r>
      <w:r w:rsidR="001D08D0">
        <w:t>e</w:t>
      </w:r>
      <w:r w:rsidR="00786E41">
        <w:t xml:space="preserve"> part of a tax avoidance structure resulting </w:t>
      </w:r>
      <w:r w:rsidR="001D08D0">
        <w:t xml:space="preserve">in the </w:t>
      </w:r>
      <w:r w:rsidR="00786E41">
        <w:t xml:space="preserve">denial of the exemption on the basis of abuse of law. </w:t>
      </w:r>
    </w:p>
    <w:p w:rsidR="003B6A01" w:rsidRDefault="001D08D0" w:rsidP="00577C6A">
      <w:pPr>
        <w:pStyle w:val="DSBodyText2"/>
      </w:pPr>
      <w:r>
        <w:t>Also, if s</w:t>
      </w:r>
      <w:r w:rsidR="00786E41">
        <w:t>ubstance c</w:t>
      </w:r>
      <w:r>
        <w:t xml:space="preserve">riteria are not met, this may result in the </w:t>
      </w:r>
      <w:r w:rsidR="008259B7">
        <w:t xml:space="preserve">spontaneous </w:t>
      </w:r>
      <w:r>
        <w:t>exch</w:t>
      </w:r>
      <w:r w:rsidR="00786E41">
        <w:t>ange of information by the Dutch tax a</w:t>
      </w:r>
      <w:r>
        <w:t>u</w:t>
      </w:r>
      <w:r w:rsidR="00786E41">
        <w:t>thorit</w:t>
      </w:r>
      <w:r>
        <w:t>i</w:t>
      </w:r>
      <w:r w:rsidR="00786E41">
        <w:t xml:space="preserve">es </w:t>
      </w:r>
      <w:r>
        <w:t xml:space="preserve">with their foreign counterpart. </w:t>
      </w:r>
      <w:r w:rsidR="008259B7">
        <w:t>For intra</w:t>
      </w:r>
      <w:r w:rsidR="008259B7">
        <w:noBreakHyphen/>
        <w:t>group service companies</w:t>
      </w:r>
      <w:r w:rsidR="003D00F5">
        <w:t xml:space="preserve"> (</w:t>
      </w:r>
      <w:r w:rsidR="003D00F5" w:rsidRPr="008259B7">
        <w:rPr>
          <w:lang w:val="en-US"/>
        </w:rPr>
        <w:t>Dutch</w:t>
      </w:r>
      <w:r w:rsidR="003D00F5" w:rsidRPr="00140CEE">
        <w:rPr>
          <w:lang w:val="en-US"/>
        </w:rPr>
        <w:t xml:space="preserve"> corporate income taxpayers of which the activities</w:t>
      </w:r>
      <w:r w:rsidR="003D00F5">
        <w:rPr>
          <w:lang w:val="en-US"/>
        </w:rPr>
        <w:t xml:space="preserve"> </w:t>
      </w:r>
      <w:r w:rsidR="003D00F5" w:rsidRPr="008259B7">
        <w:rPr>
          <w:lang w:val="en-US"/>
        </w:rPr>
        <w:t>primarily</w:t>
      </w:r>
      <w:r w:rsidR="003D00F5" w:rsidRPr="00140CEE">
        <w:rPr>
          <w:lang w:val="en-US"/>
        </w:rPr>
        <w:t xml:space="preserve"> consist</w:t>
      </w:r>
      <w:r w:rsidR="003D00F5">
        <w:rPr>
          <w:lang w:val="en-US"/>
        </w:rPr>
        <w:t xml:space="preserve"> of</w:t>
      </w:r>
      <w:r w:rsidR="003D00F5" w:rsidRPr="008259B7">
        <w:rPr>
          <w:lang w:val="en-US"/>
        </w:rPr>
        <w:t xml:space="preserve"> </w:t>
      </w:r>
      <w:r w:rsidR="003D00F5">
        <w:rPr>
          <w:i/>
          <w:lang w:val="en-US"/>
        </w:rPr>
        <w:t>de jure</w:t>
      </w:r>
      <w:r w:rsidR="003D00F5">
        <w:rPr>
          <w:lang w:val="en-US"/>
        </w:rPr>
        <w:t xml:space="preserve"> or </w:t>
      </w:r>
      <w:r w:rsidR="003D00F5">
        <w:rPr>
          <w:i/>
          <w:lang w:val="en-US"/>
        </w:rPr>
        <w:t>de facto</w:t>
      </w:r>
      <w:r w:rsidR="003D00F5">
        <w:rPr>
          <w:lang w:val="en-US"/>
        </w:rPr>
        <w:t xml:space="preserve"> directly or indirectly receiving and paying interest, royalties, rental or lease terms within the group)</w:t>
      </w:r>
      <w:r w:rsidR="008259B7">
        <w:t xml:space="preserve"> there is a </w:t>
      </w:r>
      <w:r w:rsidR="003B6A01">
        <w:t xml:space="preserve">list </w:t>
      </w:r>
      <w:r w:rsidR="00C343B6">
        <w:t>of substance criteria</w:t>
      </w:r>
      <w:r w:rsidR="003B6A01">
        <w:t>, and if any criterion on this list is not met at any time in a year this should be reported to the Dutch tax authorities. On this basis</w:t>
      </w:r>
      <w:r w:rsidR="003D00F5">
        <w:t>,</w:t>
      </w:r>
      <w:r w:rsidR="003B6A01">
        <w:t xml:space="preserve"> the Dutch tax authorities may decide to spontaneously exchange information on (the substance of) the company with foreign (tax) authorities. </w:t>
      </w:r>
      <w:r w:rsidR="00227ECE">
        <w:t xml:space="preserve">Such exchange of information may lead to questions (or even audits) from foreign tax authorities. </w:t>
      </w:r>
    </w:p>
    <w:p w:rsidR="00EA19CE" w:rsidRDefault="003B6A01" w:rsidP="00577C6A">
      <w:pPr>
        <w:pStyle w:val="DSBodyText2"/>
      </w:pPr>
      <w:r>
        <w:t xml:space="preserve">The abovementioned substance criteria </w:t>
      </w:r>
      <w:r w:rsidR="00C343B6">
        <w:t>include the criterion whether t</w:t>
      </w:r>
      <w:r w:rsidR="00A2786E" w:rsidRPr="00A2786E">
        <w:t xml:space="preserve">he </w:t>
      </w:r>
      <w:r w:rsidR="003D00F5">
        <w:t xml:space="preserve">management board </w:t>
      </w:r>
      <w:r w:rsidR="00A2786E" w:rsidRPr="00A2786E">
        <w:t xml:space="preserve">resolutions </w:t>
      </w:r>
      <w:r w:rsidR="00066F1C">
        <w:t xml:space="preserve">of the tax payer </w:t>
      </w:r>
      <w:r w:rsidR="00A2786E" w:rsidRPr="00A2786E">
        <w:t xml:space="preserve">are adopted in the state </w:t>
      </w:r>
      <w:r w:rsidR="00C343B6">
        <w:t>of residence. This may temporarily not be feasible because physical</w:t>
      </w:r>
      <w:r w:rsidR="003D00F5">
        <w:t xml:space="preserve"> management</w:t>
      </w:r>
      <w:r w:rsidR="00C343B6">
        <w:t xml:space="preserve"> board meetings may not be possible due to </w:t>
      </w:r>
      <w:r w:rsidR="00066F1C">
        <w:t>the Corona measures</w:t>
      </w:r>
      <w:r w:rsidR="00C343B6">
        <w:t>. Another typical criterion is that t</w:t>
      </w:r>
      <w:r w:rsidR="00786E41" w:rsidRPr="00786E41">
        <w:t xml:space="preserve">he taxpayer has immovable property located in the </w:t>
      </w:r>
      <w:r w:rsidR="00C343B6">
        <w:t xml:space="preserve">state of residence </w:t>
      </w:r>
      <w:r w:rsidR="00786E41" w:rsidRPr="00786E41">
        <w:t xml:space="preserve">at its disposal for a period of at least 24 months, with an office in that immovable property, </w:t>
      </w:r>
      <w:r w:rsidR="00C343B6">
        <w:t>and that relevant</w:t>
      </w:r>
      <w:r w:rsidR="00786E41" w:rsidRPr="00786E41">
        <w:t xml:space="preserve"> activities are actually performed in that office.</w:t>
      </w:r>
      <w:r w:rsidR="00C343B6">
        <w:t xml:space="preserve"> For similar reasons, this may not be possible either. </w:t>
      </w:r>
      <w:r w:rsidR="004941DC">
        <w:t xml:space="preserve">In a letter to </w:t>
      </w:r>
      <w:r w:rsidR="00066F1C">
        <w:t xml:space="preserve">the Dutch </w:t>
      </w:r>
      <w:r w:rsidR="004941DC">
        <w:t>Government, t</w:t>
      </w:r>
      <w:r w:rsidR="0095183E">
        <w:t xml:space="preserve">he </w:t>
      </w:r>
      <w:r w:rsidR="00A2786E">
        <w:t>Dutc</w:t>
      </w:r>
      <w:r w:rsidR="0095183E">
        <w:t>h</w:t>
      </w:r>
      <w:r w:rsidR="00B1713A">
        <w:t xml:space="preserve"> Associ</w:t>
      </w:r>
      <w:r w:rsidR="00A2786E">
        <w:t>ation of Tax A</w:t>
      </w:r>
      <w:r w:rsidR="00B1713A">
        <w:t>dvisers</w:t>
      </w:r>
      <w:r w:rsidR="00A2786E">
        <w:t xml:space="preserve"> have suggested to </w:t>
      </w:r>
      <w:r w:rsidR="004941DC">
        <w:t xml:space="preserve">temporarily </w:t>
      </w:r>
      <w:r w:rsidR="00A2786E">
        <w:t>relax the monitoring</w:t>
      </w:r>
      <w:r w:rsidR="004941DC">
        <w:t xml:space="preserve"> of the place of residence and the substance criteria. No formal response to th</w:t>
      </w:r>
      <w:r w:rsidR="003D00F5">
        <w:t>is suggestion is yet published.</w:t>
      </w:r>
    </w:p>
    <w:p w:rsidR="005B2150" w:rsidRDefault="00856F48" w:rsidP="005B2150">
      <w:pPr>
        <w:pStyle w:val="DSHeadingNoToc1"/>
      </w:pPr>
      <w:r>
        <w:t>Finally…</w:t>
      </w:r>
    </w:p>
    <w:p w:rsidR="00856F48" w:rsidRDefault="009618B3" w:rsidP="003D00F5">
      <w:pPr>
        <w:pStyle w:val="DSHeadingNoToc2"/>
      </w:pPr>
      <w:r>
        <w:t xml:space="preserve">Meijburg Legal is able to assist you in analysing which of the abovementioned </w:t>
      </w:r>
      <w:r w:rsidR="003D00F5">
        <w:t xml:space="preserve">legal </w:t>
      </w:r>
      <w:r>
        <w:t>solutio</w:t>
      </w:r>
      <w:r w:rsidR="00A01AEB">
        <w:t xml:space="preserve">ns works best for </w:t>
      </w:r>
      <w:r w:rsidR="001462AB">
        <w:t xml:space="preserve">you and </w:t>
      </w:r>
      <w:r w:rsidR="00A01AEB">
        <w:t xml:space="preserve">your company and </w:t>
      </w:r>
      <w:r w:rsidR="001462AB">
        <w:t xml:space="preserve">we are happy to assist </w:t>
      </w:r>
      <w:r w:rsidR="00A01AEB">
        <w:t>you in drafting, executing and performing the best governa</w:t>
      </w:r>
      <w:r w:rsidR="001462AB">
        <w:t>nce solution for your business</w:t>
      </w:r>
      <w:r w:rsidR="001B3E0A">
        <w:t xml:space="preserve"> now and going forward</w:t>
      </w:r>
      <w:r w:rsidR="003D00F5">
        <w:t>.</w:t>
      </w:r>
    </w:p>
    <w:p w:rsidR="003D00F5" w:rsidRDefault="003D00F5" w:rsidP="003D00F5">
      <w:pPr>
        <w:pStyle w:val="DSHeadingNoToc2"/>
      </w:pPr>
      <w:r>
        <w:t xml:space="preserve">Meijburg Tax is able to assist you with the assessment of the tax side of governance topics. It is important to consider tax related consequences, as tax consequences may be complex to reverse or even irreversible after </w:t>
      </w:r>
      <w:r w:rsidR="00F34606">
        <w:t>a</w:t>
      </w:r>
      <w:r>
        <w:t xml:space="preserve"> change in </w:t>
      </w:r>
      <w:r w:rsidR="00F34606">
        <w:t>governance took</w:t>
      </w:r>
      <w:r>
        <w:t xml:space="preserve"> place.</w:t>
      </w:r>
    </w:p>
    <w:p w:rsidR="00EA4BC9" w:rsidRDefault="00856F48" w:rsidP="00856F48">
      <w:pPr>
        <w:pStyle w:val="DSHeadingNoToc2"/>
      </w:pPr>
      <w:r>
        <w:lastRenderedPageBreak/>
        <w:t>This memorandum briefly described practical and legal solutions</w:t>
      </w:r>
      <w:r w:rsidR="00D002BC">
        <w:t xml:space="preserve"> to increase flexibility</w:t>
      </w:r>
      <w:r>
        <w:t xml:space="preserve"> </w:t>
      </w:r>
      <w:r w:rsidR="00D002BC">
        <w:t xml:space="preserve">for </w:t>
      </w:r>
      <w:r w:rsidR="000254A4">
        <w:t xml:space="preserve">the </w:t>
      </w:r>
      <w:r>
        <w:t xml:space="preserve">management board and supervisory board </w:t>
      </w:r>
      <w:r w:rsidR="00D002BC">
        <w:t xml:space="preserve">when tackling </w:t>
      </w:r>
      <w:r>
        <w:t>governance matters</w:t>
      </w:r>
      <w:r w:rsidR="00D002BC">
        <w:t xml:space="preserve"> in times of crisis</w:t>
      </w:r>
      <w:r>
        <w:t>. If you are interested in governance aspects at shareholder meetings, or what the duties and liabilities of managing directors and supervisory directors are in financially distressed companies, please reach out to your Meijburg Legal contact person.</w:t>
      </w:r>
    </w:p>
    <w:p w:rsidR="001462AB" w:rsidRPr="005B2150" w:rsidRDefault="001462AB" w:rsidP="001462AB">
      <w:pPr>
        <w:pStyle w:val="DSBodyText2"/>
        <w:jc w:val="center"/>
      </w:pPr>
      <w:r>
        <w:t>*-*-*-*-*</w:t>
      </w:r>
    </w:p>
    <w:sectPr w:rsidR="001462AB" w:rsidRPr="005B2150" w:rsidSect="004B756C">
      <w:headerReference w:type="even" r:id="rId9"/>
      <w:headerReference w:type="default" r:id="rId10"/>
      <w:footerReference w:type="even" r:id="rId11"/>
      <w:footerReference w:type="default" r:id="rId12"/>
      <w:headerReference w:type="first" r:id="rId13"/>
      <w:footerReference w:type="first" r:id="rId14"/>
      <w:pgSz w:w="11906" w:h="16838" w:code="9"/>
      <w:pgMar w:top="2381" w:right="1673" w:bottom="1276" w:left="1644" w:header="567" w:footer="720" w:gutter="0"/>
      <w:paperSrc w:first="1000" w:other="1007"/>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452">
      <wne:fci wne:fciName="InsertCrossReference" wne:swArg="0000"/>
    </wne:keymap>
    <wne:keymap wne:kcmPrimary="0571">
      <wne:macro wne:macroName="IMANAUTOMACRO.AUTOMACRO.FILESAVEBINDING"/>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AC1" w:rsidRDefault="00A31AC1" w:rsidP="00F438F1">
      <w:r>
        <w:separator/>
      </w:r>
    </w:p>
  </w:endnote>
  <w:endnote w:type="continuationSeparator" w:id="0">
    <w:p w:rsidR="00A31AC1" w:rsidRDefault="00A31AC1" w:rsidP="00F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panose1 w:val="000000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55">
    <w:panose1 w:val="02000000000000000000"/>
    <w:charset w:val="00"/>
    <w:family w:val="auto"/>
    <w:pitch w:val="variable"/>
    <w:sig w:usb0="8000002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D30" w:rsidRDefault="00ED5D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42" w:rightFromText="142" w:vertAnchor="page" w:horzAnchor="margin" w:tblpYSpec="bottom"/>
      <w:tblOverlap w:val="never"/>
      <w:tblW w:w="5000" w:type="pct"/>
      <w:tblLook w:val="04A0" w:firstRow="1" w:lastRow="0" w:firstColumn="1" w:lastColumn="0" w:noHBand="0" w:noVBand="1"/>
    </w:tblPr>
    <w:tblGrid>
      <w:gridCol w:w="8589"/>
    </w:tblGrid>
    <w:tr w:rsidR="00082659" w:rsidRPr="001F169C" w:rsidTr="000928E1">
      <w:trPr>
        <w:trHeight w:val="150"/>
      </w:trPr>
      <w:tc>
        <w:tcPr>
          <w:tcW w:w="5000" w:type="pct"/>
          <w:tcMar>
            <w:right w:w="0" w:type="dxa"/>
          </w:tcMar>
          <w:vAlign w:val="bottom"/>
        </w:tcPr>
        <w:p w:rsidR="00082659" w:rsidRPr="001F169C" w:rsidRDefault="00082659" w:rsidP="00F4059D">
          <w:pPr>
            <w:pStyle w:val="DSFooter1"/>
          </w:pPr>
          <w:bookmarkStart w:id="19" w:name="bmBULocation_legaltextdoc_2" w:colFirst="0" w:colLast="0"/>
          <w:r>
            <w:t>The General Terms and Conditions of Meijburg Legal have been filed with the Chamber of Commerce in Amsterdam and apply to the services and to anyone carrying out services on behalf of Meijburg Legal. Meijburg Legal is an association of private limited liability companies under Dutch law registered with the Trade Registry under number 66939569 and has a strategic alliance with Meijburg &amp; Co Tax Lawyers, the latter being a member of KPMG International Cooperative (KPMG International), a Swiss Cooperative. The General Terms and Conditions are published on the website of Meijburg &amp; Co (http://www.meijburg.com/termsandconditions). It is also possible to request a copy.</w:t>
          </w:r>
        </w:p>
      </w:tc>
    </w:tr>
    <w:bookmarkEnd w:id="19"/>
    <w:tr w:rsidR="00082659" w:rsidRPr="001F169C" w:rsidTr="00F4059D">
      <w:trPr>
        <w:trHeight w:hRule="exact" w:val="454"/>
      </w:trPr>
      <w:tc>
        <w:tcPr>
          <w:tcW w:w="5000" w:type="pct"/>
          <w:tcMar>
            <w:right w:w="0" w:type="dxa"/>
          </w:tcMar>
          <w:vAlign w:val="bottom"/>
        </w:tcPr>
        <w:p w:rsidR="00082659" w:rsidRPr="001F169C" w:rsidRDefault="00082659" w:rsidP="000928E1"/>
      </w:tc>
    </w:tr>
  </w:tbl>
  <w:p w:rsidR="00082659" w:rsidRPr="001F169C" w:rsidRDefault="00082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42" w:rightFromText="142" w:vertAnchor="page" w:horzAnchor="margin" w:tblpYSpec="bottom"/>
      <w:tblOverlap w:val="never"/>
      <w:tblW w:w="5000" w:type="pct"/>
      <w:tblLook w:val="04A0" w:firstRow="1" w:lastRow="0" w:firstColumn="1" w:lastColumn="0" w:noHBand="0" w:noVBand="1"/>
    </w:tblPr>
    <w:tblGrid>
      <w:gridCol w:w="8589"/>
    </w:tblGrid>
    <w:tr w:rsidR="00D117FC" w:rsidRPr="001F169C" w:rsidTr="00D117FC">
      <w:trPr>
        <w:trHeight w:val="150"/>
      </w:trPr>
      <w:tc>
        <w:tcPr>
          <w:tcW w:w="5000" w:type="pct"/>
          <w:tcMar>
            <w:right w:w="0" w:type="dxa"/>
          </w:tcMar>
          <w:vAlign w:val="bottom"/>
        </w:tcPr>
        <w:p w:rsidR="00D117FC" w:rsidRPr="001F169C" w:rsidRDefault="00D117FC" w:rsidP="00720DBB">
          <w:pPr>
            <w:pStyle w:val="DSFooter1"/>
          </w:pPr>
          <w:bookmarkStart w:id="21" w:name="bmBULocation_legaltextdoc" w:colFirst="0" w:colLast="0"/>
          <w:r>
            <w:t>The General Terms and Conditions of Meijburg Legal have been filed with the Chamber of Commerce in Amsterdam and apply to the services and to anyone carrying out services on behalf of Meijburg Legal. Meijburg Legal is an association of private limited liability companies under Dutch law registered with the Trade Registry under number 66939569 and has a strategic alliance with Meijburg &amp; Co Tax Lawyers, the latter being a member of KPMG International Cooperative (KPMG International), a Swiss Cooperative. The General Terms and Conditions are published on the website of Meijburg &amp; Co (http://www.meijburg.com/termsandconditions). It is also possible to request a copy.</w:t>
          </w:r>
        </w:p>
      </w:tc>
    </w:tr>
    <w:bookmarkEnd w:id="21"/>
    <w:tr w:rsidR="00D117FC" w:rsidRPr="001F169C" w:rsidTr="00720DBB">
      <w:trPr>
        <w:trHeight w:hRule="exact" w:val="454"/>
      </w:trPr>
      <w:tc>
        <w:tcPr>
          <w:tcW w:w="5000" w:type="pct"/>
          <w:tcMar>
            <w:right w:w="0" w:type="dxa"/>
          </w:tcMar>
          <w:vAlign w:val="bottom"/>
        </w:tcPr>
        <w:p w:rsidR="00D117FC" w:rsidRPr="001F169C" w:rsidRDefault="00D117FC" w:rsidP="00720DBB">
          <w:pPr>
            <w:pStyle w:val="DSFooter1"/>
          </w:pPr>
        </w:p>
      </w:tc>
    </w:tr>
  </w:tbl>
  <w:p w:rsidR="003B01D4" w:rsidRPr="001F169C" w:rsidRDefault="003B01D4" w:rsidP="00D11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AC1" w:rsidRDefault="00A31AC1" w:rsidP="00F438F1">
      <w:r>
        <w:separator/>
      </w:r>
    </w:p>
  </w:footnote>
  <w:footnote w:type="continuationSeparator" w:id="0">
    <w:p w:rsidR="00A31AC1" w:rsidRDefault="00A31AC1" w:rsidP="00F43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D30" w:rsidRDefault="00ED5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Look w:val="04A0" w:firstRow="1" w:lastRow="0" w:firstColumn="1" w:lastColumn="0" w:noHBand="0" w:noVBand="1"/>
    </w:tblPr>
    <w:tblGrid>
      <w:gridCol w:w="653"/>
      <w:gridCol w:w="132"/>
      <w:gridCol w:w="617"/>
      <w:gridCol w:w="5122"/>
      <w:gridCol w:w="2065"/>
    </w:tblGrid>
    <w:tr w:rsidR="00BC1709" w:rsidRPr="001F169C" w:rsidTr="005546D9">
      <w:trPr>
        <w:trHeight w:val="692"/>
      </w:trPr>
      <w:tc>
        <w:tcPr>
          <w:tcW w:w="5000" w:type="pct"/>
          <w:gridSpan w:val="5"/>
        </w:tcPr>
        <w:tbl>
          <w:tblPr>
            <w:tblStyle w:val="TableGrid"/>
            <w:tblW w:w="0" w:type="auto"/>
            <w:tblLook w:val="04A0" w:firstRow="1" w:lastRow="0" w:firstColumn="1" w:lastColumn="0" w:noHBand="0" w:noVBand="1"/>
          </w:tblPr>
          <w:tblGrid>
            <w:gridCol w:w="8589"/>
          </w:tblGrid>
          <w:tr w:rsidR="008901DC" w:rsidRPr="001F169C" w:rsidTr="008901DC">
            <w:tc>
              <w:tcPr>
                <w:tcW w:w="8589" w:type="dxa"/>
              </w:tcPr>
              <w:p w:rsidR="008901DC" w:rsidRPr="001F169C" w:rsidRDefault="008901DC" w:rsidP="00423015">
                <w:pPr>
                  <w:rPr>
                    <w:b/>
                    <w:noProof/>
                    <w:kern w:val="16"/>
                  </w:rPr>
                </w:pPr>
                <w:bookmarkStart w:id="16" w:name="bmBULocation_logo_otherpage" w:colFirst="0" w:colLast="0"/>
                <w:r>
                  <w:rPr>
                    <w:noProof/>
                    <w:lang w:val="nl-NL" w:eastAsia="nl-NL"/>
                  </w:rPr>
                  <w:drawing>
                    <wp:inline distT="0" distB="0" distL="0" distR="0">
                      <wp:extent cx="2222372" cy="313997"/>
                      <wp:effectExtent l="0" t="0" r="0" b="0"/>
                      <wp:docPr id="2" name="Meijburg_Legal_logo_otherpage"/>
                      <wp:cNvGraphicFramePr/>
                      <a:graphic xmlns:a="http://schemas.openxmlformats.org/drawingml/2006/main">
                        <a:graphicData uri="http://schemas.openxmlformats.org/drawingml/2006/picture">
                          <pic:pic xmlns:pic="http://schemas.openxmlformats.org/drawingml/2006/picture">
                            <pic:nvPicPr>
                              <pic:cNvPr id="0" name="Meijburg_Legal_logo_otherpage"/>
                              <pic:cNvPicPr/>
                            </pic:nvPicPr>
                            <pic:blipFill>
                              <a:blip r:embed="rId1"/>
                              <a:stretch>
                                <a:fillRect/>
                              </a:stretch>
                            </pic:blipFill>
                            <pic:spPr>
                              <a:xfrm>
                                <a:off x="0" y="0"/>
                                <a:ext cx="2222372" cy="313997"/>
                              </a:xfrm>
                              <a:prstGeom prst="rect">
                                <a:avLst/>
                              </a:prstGeom>
                            </pic:spPr>
                          </pic:pic>
                        </a:graphicData>
                      </a:graphic>
                    </wp:inline>
                  </w:drawing>
                </w:r>
              </w:p>
            </w:tc>
          </w:tr>
          <w:bookmarkEnd w:id="16"/>
        </w:tbl>
        <w:p w:rsidR="00BC1709" w:rsidRPr="001F169C" w:rsidRDefault="00BC1709" w:rsidP="00423015">
          <w:pPr>
            <w:rPr>
              <w:b/>
              <w:noProof/>
              <w:kern w:val="16"/>
            </w:rPr>
          </w:pPr>
        </w:p>
      </w:tc>
    </w:tr>
    <w:tr w:rsidR="00F4059D" w:rsidRPr="001F169C" w:rsidTr="005546D9">
      <w:trPr>
        <w:gridBefore w:val="1"/>
        <w:wBefore w:w="380" w:type="pct"/>
      </w:trPr>
      <w:tc>
        <w:tcPr>
          <w:tcW w:w="4620" w:type="pct"/>
          <w:gridSpan w:val="4"/>
        </w:tcPr>
        <w:p w:rsidR="00F4059D" w:rsidRPr="001F169C" w:rsidRDefault="00F4059D" w:rsidP="00423015">
          <w:pPr>
            <w:rPr>
              <w:rFonts w:ascii="Univers 55" w:hAnsi="Univers 55"/>
              <w:noProof/>
              <w:sz w:val="16"/>
            </w:rPr>
          </w:pPr>
        </w:p>
        <w:p w:rsidR="00266487" w:rsidRPr="001F169C" w:rsidRDefault="00266487" w:rsidP="00423015">
          <w:pPr>
            <w:rPr>
              <w:rFonts w:ascii="Univers 55" w:hAnsi="Univers 55"/>
              <w:noProof/>
              <w:sz w:val="16"/>
            </w:rPr>
          </w:pPr>
        </w:p>
      </w:tc>
    </w:tr>
    <w:tr w:rsidR="00BC1709" w:rsidRPr="001F169C" w:rsidTr="003641A5">
      <w:trPr>
        <w:trHeight w:val="363"/>
      </w:trPr>
      <w:tc>
        <w:tcPr>
          <w:tcW w:w="457" w:type="pct"/>
          <w:gridSpan w:val="2"/>
          <w:tcMar>
            <w:left w:w="0" w:type="dxa"/>
          </w:tcMar>
        </w:tcPr>
        <w:p w:rsidR="00BC1709" w:rsidRPr="001F169C" w:rsidRDefault="00BC1709" w:rsidP="00423015">
          <w:pPr>
            <w:rPr>
              <w:noProof/>
            </w:rPr>
          </w:pPr>
          <w:bookmarkStart w:id="17" w:name="lblPageNr" w:colFirst="0" w:colLast="0"/>
          <w:r>
            <w:t>Page</w:t>
          </w:r>
        </w:p>
      </w:tc>
      <w:tc>
        <w:tcPr>
          <w:tcW w:w="359" w:type="pct"/>
        </w:tcPr>
        <w:p w:rsidR="00BC1709" w:rsidRPr="001F169C" w:rsidRDefault="00C70BE3" w:rsidP="00423015">
          <w:pPr>
            <w:rPr>
              <w:noProof/>
            </w:rPr>
          </w:pPr>
          <w:r w:rsidRPr="001F169C">
            <w:fldChar w:fldCharType="begin"/>
          </w:r>
          <w:r w:rsidR="00C94E44" w:rsidRPr="001F169C">
            <w:instrText xml:space="preserve"> PAGE   \* MERGEFORMAT </w:instrText>
          </w:r>
          <w:r w:rsidRPr="001F169C">
            <w:fldChar w:fldCharType="separate"/>
          </w:r>
          <w:r w:rsidR="00225EDA">
            <w:rPr>
              <w:noProof/>
            </w:rPr>
            <w:t>8</w:t>
          </w:r>
          <w:r w:rsidRPr="001F169C">
            <w:rPr>
              <w:noProof/>
            </w:rPr>
            <w:fldChar w:fldCharType="end"/>
          </w:r>
        </w:p>
      </w:tc>
      <w:tc>
        <w:tcPr>
          <w:tcW w:w="2982" w:type="pct"/>
          <w:tcMar>
            <w:left w:w="113" w:type="dxa"/>
          </w:tcMar>
        </w:tcPr>
        <w:p w:rsidR="00BC1709" w:rsidRPr="001F169C" w:rsidRDefault="00BC1709" w:rsidP="00423015">
          <w:pPr>
            <w:rPr>
              <w:rFonts w:ascii="Times New Roman" w:hAnsi="Times New Roman"/>
              <w:b/>
              <w:bCs/>
              <w:noProof/>
            </w:rPr>
          </w:pPr>
        </w:p>
      </w:tc>
      <w:tc>
        <w:tcPr>
          <w:tcW w:w="1202" w:type="pct"/>
        </w:tcPr>
        <w:p w:rsidR="00BC1709" w:rsidRPr="001F169C" w:rsidRDefault="00BC1709" w:rsidP="00423015">
          <w:pPr>
            <w:rPr>
              <w:noProof/>
            </w:rPr>
          </w:pPr>
        </w:p>
      </w:tc>
    </w:tr>
    <w:tr w:rsidR="00BC1709" w:rsidRPr="001F169C" w:rsidTr="003641A5">
      <w:trPr>
        <w:trHeight w:val="363"/>
      </w:trPr>
      <w:tc>
        <w:tcPr>
          <w:tcW w:w="3798" w:type="pct"/>
          <w:gridSpan w:val="4"/>
          <w:tcMar>
            <w:left w:w="0" w:type="dxa"/>
          </w:tcMar>
        </w:tcPr>
        <w:p w:rsidR="00BC1709" w:rsidRPr="001F169C" w:rsidRDefault="00BC1709" w:rsidP="00423015">
          <w:bookmarkStart w:id="18" w:name="bmDate_2" w:colFirst="0" w:colLast="0"/>
          <w:bookmarkEnd w:id="17"/>
        </w:p>
      </w:tc>
      <w:tc>
        <w:tcPr>
          <w:tcW w:w="1202" w:type="pct"/>
        </w:tcPr>
        <w:p w:rsidR="00BC1709" w:rsidRPr="001F169C" w:rsidRDefault="00BC1709" w:rsidP="00423015">
          <w:pPr>
            <w:rPr>
              <w:noProof/>
            </w:rPr>
          </w:pPr>
        </w:p>
      </w:tc>
    </w:tr>
    <w:bookmarkEnd w:id="18"/>
  </w:tbl>
  <w:p w:rsidR="00D117FC" w:rsidRPr="001F169C" w:rsidRDefault="00D117FC" w:rsidP="00BC1709">
    <w:pP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Look w:val="04A0" w:firstRow="1" w:lastRow="0" w:firstColumn="1" w:lastColumn="0" w:noHBand="0" w:noVBand="1"/>
    </w:tblPr>
    <w:tblGrid>
      <w:gridCol w:w="8589"/>
    </w:tblGrid>
    <w:tr w:rsidR="009869A1" w:rsidRPr="001F169C" w:rsidTr="006115E4">
      <w:tc>
        <w:tcPr>
          <w:tcW w:w="5000" w:type="pct"/>
        </w:tcPr>
        <w:p w:rsidR="009869A1" w:rsidRPr="001F169C" w:rsidRDefault="009869A1" w:rsidP="00423015">
          <w:pPr>
            <w:rPr>
              <w:noProof/>
              <w:kern w:val="16"/>
            </w:rPr>
          </w:pPr>
          <w:bookmarkStart w:id="20" w:name="bmBULocation_logo" w:colFirst="0" w:colLast="0"/>
          <w:r>
            <w:rPr>
              <w:noProof/>
              <w:lang w:val="nl-NL" w:eastAsia="nl-NL"/>
            </w:rPr>
            <w:drawing>
              <wp:inline distT="0" distB="0" distL="0" distR="0">
                <wp:extent cx="2899390" cy="658536"/>
                <wp:effectExtent l="0" t="0" r="0" b="0"/>
                <wp:docPr id="4" name="Meijburg_Legal_logo"/>
                <wp:cNvGraphicFramePr/>
                <a:graphic xmlns:a="http://schemas.openxmlformats.org/drawingml/2006/main">
                  <a:graphicData uri="http://schemas.openxmlformats.org/drawingml/2006/picture">
                    <pic:pic xmlns:pic="http://schemas.openxmlformats.org/drawingml/2006/picture">
                      <pic:nvPicPr>
                        <pic:cNvPr id="0" name="Meijburg_Legal_logo"/>
                        <pic:cNvPicPr/>
                      </pic:nvPicPr>
                      <pic:blipFill>
                        <a:blip r:embed="rId1"/>
                        <a:stretch>
                          <a:fillRect/>
                        </a:stretch>
                      </pic:blipFill>
                      <pic:spPr>
                        <a:xfrm>
                          <a:off x="0" y="0"/>
                          <a:ext cx="2899390" cy="658536"/>
                        </a:xfrm>
                        <a:prstGeom prst="rect">
                          <a:avLst/>
                        </a:prstGeom>
                      </pic:spPr>
                    </pic:pic>
                  </a:graphicData>
                </a:graphic>
              </wp:inline>
            </w:drawing>
          </w:r>
        </w:p>
      </w:tc>
    </w:tr>
    <w:bookmarkEnd w:id="20"/>
  </w:tbl>
  <w:p w:rsidR="008D76A2" w:rsidRPr="001F169C" w:rsidRDefault="008D76A2" w:rsidP="00DE5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9365318"/>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04130005"/>
    <w:lvl w:ilvl="0">
      <w:start w:val="1"/>
      <w:numFmt w:val="bullet"/>
      <w:lvlText w:val=""/>
      <w:lvlJc w:val="left"/>
      <w:pPr>
        <w:ind w:left="1080" w:hanging="360"/>
      </w:pPr>
      <w:rPr>
        <w:rFonts w:ascii="Wingdings" w:hAnsi="Wingdings" w:hint="default"/>
        <w:color w:val="000000" w:themeColor="text1"/>
      </w:rPr>
    </w:lvl>
  </w:abstractNum>
  <w:abstractNum w:abstractNumId="2" w15:restartNumberingAfterBreak="0">
    <w:nsid w:val="FFFFFF83"/>
    <w:multiLevelType w:val="singleLevel"/>
    <w:tmpl w:val="28B29D58"/>
    <w:lvl w:ilvl="0">
      <w:start w:val="1"/>
      <w:numFmt w:val="bullet"/>
      <w:lvlText w:val=""/>
      <w:lvlJc w:val="left"/>
      <w:pPr>
        <w:ind w:left="720" w:hanging="360"/>
      </w:pPr>
      <w:rPr>
        <w:rFonts w:ascii="Symbol" w:hAnsi="Symbol" w:hint="default"/>
        <w:color w:val="000000" w:themeColor="text1"/>
      </w:rPr>
    </w:lvl>
  </w:abstractNum>
  <w:abstractNum w:abstractNumId="3" w15:restartNumberingAfterBreak="0">
    <w:nsid w:val="FFFFFF88"/>
    <w:multiLevelType w:val="singleLevel"/>
    <w:tmpl w:val="9EF8FF9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938A9AB0"/>
    <w:lvl w:ilvl="0">
      <w:start w:val="1"/>
      <w:numFmt w:val="bullet"/>
      <w:lvlText w:val=""/>
      <w:lvlJc w:val="left"/>
      <w:pPr>
        <w:ind w:left="360" w:hanging="360"/>
      </w:pPr>
      <w:rPr>
        <w:rFonts w:ascii="Symbol" w:hAnsi="Symbol" w:hint="default"/>
        <w:color w:val="000000" w:themeColor="text1"/>
      </w:rPr>
    </w:lvl>
  </w:abstractNum>
  <w:abstractNum w:abstractNumId="5"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6" w15:restartNumberingAfterBreak="0">
    <w:nsid w:val="090C35A5"/>
    <w:multiLevelType w:val="multilevel"/>
    <w:tmpl w:val="7D5CD7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EC166C"/>
    <w:multiLevelType w:val="multilevel"/>
    <w:tmpl w:val="460E1CA6"/>
    <w:lvl w:ilvl="0">
      <w:start w:val="1"/>
      <w:numFmt w:val="decimal"/>
      <w:lvlText w:val="%1"/>
      <w:lvlJc w:val="right"/>
      <w:pPr>
        <w:tabs>
          <w:tab w:val="num" w:pos="851"/>
        </w:tabs>
        <w:ind w:left="0" w:hanging="284"/>
      </w:pPr>
      <w:rPr>
        <w:rFonts w:hint="default"/>
      </w:rPr>
    </w:lvl>
    <w:lvl w:ilvl="1">
      <w:start w:val="1"/>
      <w:numFmt w:val="decimal"/>
      <w:lvlText w:val="%1.%2"/>
      <w:lvlJc w:val="right"/>
      <w:pPr>
        <w:tabs>
          <w:tab w:val="num" w:pos="851"/>
        </w:tabs>
        <w:ind w:left="0" w:hanging="284"/>
      </w:pPr>
      <w:rPr>
        <w:rFonts w:hint="default"/>
      </w:rPr>
    </w:lvl>
    <w:lvl w:ilvl="2">
      <w:start w:val="1"/>
      <w:numFmt w:val="decimal"/>
      <w:lvlText w:val="%1.%2.%3"/>
      <w:lvlJc w:val="right"/>
      <w:pPr>
        <w:tabs>
          <w:tab w:val="num" w:pos="851"/>
        </w:tabs>
        <w:ind w:left="0" w:hanging="284"/>
      </w:pPr>
      <w:rPr>
        <w:rFonts w:hint="default"/>
      </w:rPr>
    </w:lvl>
    <w:lvl w:ilvl="3">
      <w:start w:val="1"/>
      <w:numFmt w:val="decimal"/>
      <w:lvlText w:val="%1.%2.%3.%4"/>
      <w:lvlJc w:val="right"/>
      <w:pPr>
        <w:tabs>
          <w:tab w:val="num" w:pos="851"/>
        </w:tabs>
        <w:ind w:left="0" w:hanging="284"/>
      </w:pPr>
      <w:rPr>
        <w:rFonts w:hint="default"/>
      </w:rPr>
    </w:lvl>
    <w:lvl w:ilvl="4">
      <w:start w:val="1"/>
      <w:numFmt w:val="decimal"/>
      <w:lvlText w:val="%1.%2.%3.%4.%5"/>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right"/>
      <w:pPr>
        <w:tabs>
          <w:tab w:val="num" w:pos="851"/>
        </w:tabs>
        <w:ind w:left="0" w:hanging="284"/>
      </w:pPr>
      <w:rPr>
        <w:rFonts w:hint="default"/>
      </w:rPr>
    </w:lvl>
    <w:lvl w:ilvl="6">
      <w:start w:val="1"/>
      <w:numFmt w:val="decimal"/>
      <w:lvlText w:val="%1.%2.%3.%4.%5.%6.%7"/>
      <w:lvlJc w:val="right"/>
      <w:pPr>
        <w:tabs>
          <w:tab w:val="num" w:pos="851"/>
        </w:tabs>
        <w:ind w:left="0" w:hanging="284"/>
      </w:pPr>
      <w:rPr>
        <w:rFonts w:hint="default"/>
      </w:rPr>
    </w:lvl>
    <w:lvl w:ilvl="7">
      <w:start w:val="1"/>
      <w:numFmt w:val="decimal"/>
      <w:lvlText w:val="%1.%2.%3.%4.%5.%6.%7.%8"/>
      <w:lvlJc w:val="right"/>
      <w:pPr>
        <w:tabs>
          <w:tab w:val="num" w:pos="851"/>
        </w:tabs>
        <w:ind w:left="0" w:hanging="284"/>
      </w:pPr>
      <w:rPr>
        <w:rFonts w:hint="default"/>
      </w:rPr>
    </w:lvl>
    <w:lvl w:ilvl="8">
      <w:start w:val="1"/>
      <w:numFmt w:val="decimal"/>
      <w:lvlText w:val="%1.%2.%3.%4.%5.%6.%7.%8.%9"/>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171F3BA6"/>
    <w:multiLevelType w:val="multilevel"/>
    <w:tmpl w:val="04090025"/>
    <w:numStyleLink w:val="DSHeadings"/>
  </w:abstractNum>
  <w:abstractNum w:abstractNumId="9" w15:restartNumberingAfterBreak="0">
    <w:nsid w:val="1A6672CA"/>
    <w:multiLevelType w:val="multilevel"/>
    <w:tmpl w:val="322E5AF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val="0"/>
      </w:r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A9042BC"/>
    <w:multiLevelType w:val="multilevel"/>
    <w:tmpl w:val="460E1CA6"/>
    <w:lvl w:ilvl="0">
      <w:start w:val="1"/>
      <w:numFmt w:val="decimal"/>
      <w:lvlText w:val="%1"/>
      <w:lvlJc w:val="right"/>
      <w:pPr>
        <w:tabs>
          <w:tab w:val="num" w:pos="851"/>
        </w:tabs>
        <w:ind w:left="0" w:hanging="284"/>
      </w:pPr>
      <w:rPr>
        <w:rFonts w:hint="default"/>
      </w:rPr>
    </w:lvl>
    <w:lvl w:ilvl="1">
      <w:start w:val="1"/>
      <w:numFmt w:val="decimal"/>
      <w:lvlText w:val="%1.%2"/>
      <w:lvlJc w:val="right"/>
      <w:pPr>
        <w:tabs>
          <w:tab w:val="num" w:pos="851"/>
        </w:tabs>
        <w:ind w:left="0" w:hanging="284"/>
      </w:pPr>
      <w:rPr>
        <w:rFonts w:hint="default"/>
      </w:rPr>
    </w:lvl>
    <w:lvl w:ilvl="2">
      <w:start w:val="1"/>
      <w:numFmt w:val="decimal"/>
      <w:lvlText w:val="%1.%2.%3"/>
      <w:lvlJc w:val="right"/>
      <w:pPr>
        <w:tabs>
          <w:tab w:val="num" w:pos="851"/>
        </w:tabs>
        <w:ind w:left="0" w:hanging="284"/>
      </w:pPr>
      <w:rPr>
        <w:rFonts w:hint="default"/>
      </w:rPr>
    </w:lvl>
    <w:lvl w:ilvl="3">
      <w:start w:val="1"/>
      <w:numFmt w:val="decimal"/>
      <w:lvlText w:val="%1.%2.%3.%4"/>
      <w:lvlJc w:val="right"/>
      <w:pPr>
        <w:tabs>
          <w:tab w:val="num" w:pos="851"/>
        </w:tabs>
        <w:ind w:left="0" w:hanging="284"/>
      </w:pPr>
      <w:rPr>
        <w:rFonts w:hint="default"/>
      </w:rPr>
    </w:lvl>
    <w:lvl w:ilvl="4">
      <w:start w:val="1"/>
      <w:numFmt w:val="decimal"/>
      <w:lvlText w:val="%1.%2.%3.%4.%5"/>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right"/>
      <w:pPr>
        <w:tabs>
          <w:tab w:val="num" w:pos="851"/>
        </w:tabs>
        <w:ind w:left="0" w:hanging="284"/>
      </w:pPr>
      <w:rPr>
        <w:rFonts w:hint="default"/>
      </w:rPr>
    </w:lvl>
    <w:lvl w:ilvl="6">
      <w:start w:val="1"/>
      <w:numFmt w:val="decimal"/>
      <w:lvlText w:val="%1.%2.%3.%4.%5.%6.%7"/>
      <w:lvlJc w:val="right"/>
      <w:pPr>
        <w:tabs>
          <w:tab w:val="num" w:pos="851"/>
        </w:tabs>
        <w:ind w:left="0" w:hanging="284"/>
      </w:pPr>
      <w:rPr>
        <w:rFonts w:hint="default"/>
      </w:rPr>
    </w:lvl>
    <w:lvl w:ilvl="7">
      <w:start w:val="1"/>
      <w:numFmt w:val="decimal"/>
      <w:lvlText w:val="%1.%2.%3.%4.%5.%6.%7.%8"/>
      <w:lvlJc w:val="right"/>
      <w:pPr>
        <w:tabs>
          <w:tab w:val="num" w:pos="851"/>
        </w:tabs>
        <w:ind w:left="0" w:hanging="284"/>
      </w:pPr>
      <w:rPr>
        <w:rFonts w:hint="default"/>
      </w:rPr>
    </w:lvl>
    <w:lvl w:ilvl="8">
      <w:start w:val="1"/>
      <w:numFmt w:val="decimal"/>
      <w:lvlText w:val="%1.%2.%3.%4.%5.%6.%7.%8.%9"/>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3" w15:restartNumberingAfterBreak="0">
    <w:nsid w:val="2630297D"/>
    <w:multiLevelType w:val="hybridMultilevel"/>
    <w:tmpl w:val="B18E286C"/>
    <w:lvl w:ilvl="0" w:tplc="3ECECB8C">
      <w:start w:val="1"/>
      <w:numFmt w:val="bullet"/>
      <w:pStyle w:val="ListBullet2"/>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5"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175165D"/>
    <w:multiLevelType w:val="multilevel"/>
    <w:tmpl w:val="35EAB6D8"/>
    <w:lvl w:ilvl="0">
      <w:start w:val="1"/>
      <w:numFmt w:val="decimal"/>
      <w:lvlText w:val="%1."/>
      <w:lvlJc w:val="left"/>
      <w:pPr>
        <w:tabs>
          <w:tab w:val="num" w:pos="709"/>
        </w:tabs>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decimal"/>
      <w:lvlText w:val="%1.%2.%3.%4.%5."/>
      <w:lvlJc w:val="left"/>
      <w:pPr>
        <w:ind w:left="3545" w:hanging="709"/>
      </w:pPr>
      <w:rPr>
        <w:rFonts w:hint="default"/>
      </w:rPr>
    </w:lvl>
    <w:lvl w:ilvl="5">
      <w:start w:val="1"/>
      <w:numFmt w:val="decimal"/>
      <w:lvlText w:val="%1.%2.%3.%4.%5.%6."/>
      <w:lvlJc w:val="left"/>
      <w:pPr>
        <w:ind w:left="4254" w:hanging="709"/>
      </w:pPr>
      <w:rPr>
        <w:rFonts w:hint="default"/>
      </w:rPr>
    </w:lvl>
    <w:lvl w:ilvl="6">
      <w:start w:val="1"/>
      <w:numFmt w:val="decimal"/>
      <w:lvlText w:val="%1.%2.%3.%4.%5.%6.%7."/>
      <w:lvlJc w:val="left"/>
      <w:pPr>
        <w:ind w:left="4963" w:hanging="709"/>
      </w:pPr>
      <w:rPr>
        <w:rFonts w:hint="default"/>
      </w:rPr>
    </w:lvl>
    <w:lvl w:ilvl="7">
      <w:start w:val="1"/>
      <w:numFmt w:val="decimal"/>
      <w:suff w:val="space"/>
      <w:lvlText w:val="%1.%2.%3.%4.%5.%6.%7.%8."/>
      <w:lvlJc w:val="left"/>
      <w:pPr>
        <w:ind w:left="5672" w:hanging="709"/>
      </w:pPr>
      <w:rPr>
        <w:rFonts w:hint="default"/>
      </w:rPr>
    </w:lvl>
    <w:lvl w:ilvl="8">
      <w:start w:val="1"/>
      <w:numFmt w:val="decimal"/>
      <w:lvlText w:val="%1.%2.%3.%4.%5.%6.%7.%8.%9."/>
      <w:lvlJc w:val="left"/>
      <w:pPr>
        <w:ind w:left="6381" w:hanging="709"/>
      </w:pPr>
      <w:rPr>
        <w:rFonts w:hint="default"/>
      </w:rPr>
    </w:lvl>
  </w:abstractNum>
  <w:abstractNum w:abstractNumId="17" w15:restartNumberingAfterBreak="0">
    <w:nsid w:val="35246981"/>
    <w:multiLevelType w:val="hybridMultilevel"/>
    <w:tmpl w:val="9612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A19CE"/>
    <w:multiLevelType w:val="multilevel"/>
    <w:tmpl w:val="8AA09C3E"/>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DEE1333"/>
    <w:multiLevelType w:val="multilevel"/>
    <w:tmpl w:val="70863F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940CD4"/>
    <w:multiLevelType w:val="hybridMultilevel"/>
    <w:tmpl w:val="015097AA"/>
    <w:lvl w:ilvl="0" w:tplc="E66A2ACA">
      <w:numFmt w:val="bullet"/>
      <w:lvlText w:val="-"/>
      <w:lvlJc w:val="left"/>
      <w:pPr>
        <w:ind w:left="720" w:hanging="360"/>
      </w:pPr>
      <w:rPr>
        <w:rFonts w:ascii="Univers 45 Light" w:eastAsiaTheme="minorHAnsi" w:hAnsi="Univers 45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23" w15:restartNumberingAfterBreak="0">
    <w:nsid w:val="54545A50"/>
    <w:multiLevelType w:val="multilevel"/>
    <w:tmpl w:val="C868B89C"/>
    <w:lvl w:ilvl="0">
      <w:start w:val="1"/>
      <w:numFmt w:val="decimal"/>
      <w:lvlText w:val="%1"/>
      <w:lvlJc w:val="right"/>
      <w:pPr>
        <w:tabs>
          <w:tab w:val="num" w:pos="851"/>
        </w:tabs>
        <w:ind w:left="0" w:hanging="284"/>
      </w:pPr>
      <w:rPr>
        <w:rFonts w:hint="default"/>
      </w:rPr>
    </w:lvl>
    <w:lvl w:ilvl="1">
      <w:start w:val="1"/>
      <w:numFmt w:val="decimal"/>
      <w:lvlText w:val="%1.%2"/>
      <w:lvlJc w:val="right"/>
      <w:pPr>
        <w:tabs>
          <w:tab w:val="num" w:pos="851"/>
        </w:tabs>
        <w:ind w:left="0" w:hanging="284"/>
      </w:pPr>
      <w:rPr>
        <w:rFonts w:hint="default"/>
      </w:rPr>
    </w:lvl>
    <w:lvl w:ilvl="2">
      <w:start w:val="1"/>
      <w:numFmt w:val="decimal"/>
      <w:lvlText w:val="%1.%2.%3"/>
      <w:lvlJc w:val="right"/>
      <w:pPr>
        <w:tabs>
          <w:tab w:val="num" w:pos="851"/>
        </w:tabs>
        <w:ind w:left="0" w:hanging="284"/>
      </w:pPr>
      <w:rPr>
        <w:rFonts w:hint="default"/>
      </w:rPr>
    </w:lvl>
    <w:lvl w:ilvl="3">
      <w:start w:val="1"/>
      <w:numFmt w:val="decimal"/>
      <w:lvlText w:val="%1.%2.%3.%4"/>
      <w:lvlJc w:val="right"/>
      <w:pPr>
        <w:tabs>
          <w:tab w:val="num" w:pos="851"/>
        </w:tabs>
        <w:ind w:left="0" w:hanging="284"/>
      </w:pPr>
      <w:rPr>
        <w:rFonts w:hint="default"/>
      </w:rPr>
    </w:lvl>
    <w:lvl w:ilvl="4">
      <w:start w:val="1"/>
      <w:numFmt w:val="decimal"/>
      <w:lvlText w:val="%1.%2.%3.%4.%5"/>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right"/>
      <w:pPr>
        <w:tabs>
          <w:tab w:val="num" w:pos="851"/>
        </w:tabs>
        <w:ind w:left="0" w:hanging="284"/>
      </w:pPr>
      <w:rPr>
        <w:rFonts w:hint="default"/>
      </w:rPr>
    </w:lvl>
    <w:lvl w:ilvl="6">
      <w:start w:val="1"/>
      <w:numFmt w:val="decimal"/>
      <w:lvlText w:val="%1.%2.%3.%4.%5.%6.%7"/>
      <w:lvlJc w:val="right"/>
      <w:pPr>
        <w:tabs>
          <w:tab w:val="num" w:pos="851"/>
        </w:tabs>
        <w:ind w:left="0" w:hanging="284"/>
      </w:pPr>
      <w:rPr>
        <w:rFonts w:hint="default"/>
      </w:rPr>
    </w:lvl>
    <w:lvl w:ilvl="7">
      <w:start w:val="1"/>
      <w:numFmt w:val="decimal"/>
      <w:lvlText w:val="%1.%2.%3.%4.%5.%6.%7.%8"/>
      <w:lvlJc w:val="right"/>
      <w:pPr>
        <w:tabs>
          <w:tab w:val="num" w:pos="851"/>
        </w:tabs>
        <w:ind w:left="0" w:hanging="284"/>
      </w:pPr>
      <w:rPr>
        <w:rFonts w:hint="default"/>
      </w:rPr>
    </w:lvl>
    <w:lvl w:ilvl="8">
      <w:start w:val="1"/>
      <w:numFmt w:val="decimal"/>
      <w:lvlText w:val="%1.%2.%3.%4.%5.%6.%7.%8.%9"/>
      <w:lvlJc w:val="right"/>
      <w:pPr>
        <w:tabs>
          <w:tab w:val="num" w:pos="851"/>
        </w:tabs>
        <w:ind w:left="0" w:hanging="28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26" w15:restartNumberingAfterBreak="0">
    <w:nsid w:val="652E5F89"/>
    <w:multiLevelType w:val="multilevel"/>
    <w:tmpl w:val="EE027798"/>
    <w:numStyleLink w:val="DSNumberedListII"/>
  </w:abstractNum>
  <w:abstractNum w:abstractNumId="27" w15:restartNumberingAfterBreak="0">
    <w:nsid w:val="65775C85"/>
    <w:multiLevelType w:val="multilevel"/>
    <w:tmpl w:val="074AED66"/>
    <w:lvl w:ilvl="0">
      <w:start w:val="1"/>
      <w:numFmt w:val="decimal"/>
      <w:pStyle w:val="ListNumber"/>
      <w:lvlText w:val="%1."/>
      <w:lvlJc w:val="left"/>
      <w:pPr>
        <w:tabs>
          <w:tab w:val="num" w:pos="425"/>
        </w:tabs>
        <w:ind w:left="425" w:hanging="425"/>
      </w:pPr>
      <w:rPr>
        <w:rFonts w:hint="default"/>
        <w:color w:val="auto"/>
      </w:rPr>
    </w:lvl>
    <w:lvl w:ilvl="1">
      <w:start w:val="1"/>
      <w:numFmt w:val="decimal"/>
      <w:lvlText w:val="%1.%2."/>
      <w:lvlJc w:val="left"/>
      <w:pPr>
        <w:tabs>
          <w:tab w:val="num" w:pos="425"/>
        </w:tabs>
        <w:ind w:left="425" w:hanging="425"/>
      </w:pPr>
      <w:rPr>
        <w:rFonts w:hint="default"/>
        <w:color w:val="auto"/>
      </w:rPr>
    </w:lvl>
    <w:lvl w:ilvl="2">
      <w:start w:val="1"/>
      <w:numFmt w:val="decimal"/>
      <w:lvlText w:val="%1.%2.%3."/>
      <w:lvlJc w:val="left"/>
      <w:pPr>
        <w:tabs>
          <w:tab w:val="num" w:pos="425"/>
        </w:tabs>
        <w:ind w:left="425" w:hanging="425"/>
      </w:pPr>
      <w:rPr>
        <w:rFonts w:hint="default"/>
        <w:color w:val="auto"/>
      </w:rPr>
    </w:lvl>
    <w:lvl w:ilvl="3">
      <w:start w:val="1"/>
      <w:numFmt w:val="decimal"/>
      <w:lvlText w:val="%1.%2.%3.%4."/>
      <w:lvlJc w:val="left"/>
      <w:pPr>
        <w:tabs>
          <w:tab w:val="num" w:pos="425"/>
        </w:tabs>
        <w:ind w:left="425" w:hanging="425"/>
      </w:pPr>
      <w:rPr>
        <w:rFonts w:hint="default"/>
        <w:color w:val="auto"/>
      </w:rPr>
    </w:lvl>
    <w:lvl w:ilvl="4">
      <w:start w:val="1"/>
      <w:numFmt w:val="decimal"/>
      <w:lvlText w:val="%1.%2.%3.%4.%5."/>
      <w:lvlJc w:val="left"/>
      <w:pPr>
        <w:tabs>
          <w:tab w:val="num" w:pos="425"/>
        </w:tabs>
        <w:ind w:left="425" w:hanging="425"/>
      </w:pPr>
      <w:rPr>
        <w:rFonts w:hint="default"/>
        <w:color w:val="auto"/>
      </w:rPr>
    </w:lvl>
    <w:lvl w:ilvl="5">
      <w:start w:val="1"/>
      <w:numFmt w:val="decimal"/>
      <w:lvlText w:val="%1.%2.%3.%4.%5.%6."/>
      <w:lvlJc w:val="left"/>
      <w:pPr>
        <w:tabs>
          <w:tab w:val="num" w:pos="425"/>
        </w:tabs>
        <w:ind w:left="425" w:hanging="425"/>
      </w:pPr>
      <w:rPr>
        <w:rFonts w:hint="default"/>
        <w:color w:val="auto"/>
      </w:rPr>
    </w:lvl>
    <w:lvl w:ilvl="6">
      <w:start w:val="1"/>
      <w:numFmt w:val="decimal"/>
      <w:lvlText w:val="%1.%2.%3.%4.%5.%6.%7."/>
      <w:lvlJc w:val="left"/>
      <w:pPr>
        <w:tabs>
          <w:tab w:val="num" w:pos="425"/>
        </w:tabs>
        <w:ind w:left="425" w:hanging="425"/>
      </w:pPr>
      <w:rPr>
        <w:rFonts w:hint="default"/>
        <w:color w:val="auto"/>
      </w:rPr>
    </w:lvl>
    <w:lvl w:ilvl="7">
      <w:start w:val="1"/>
      <w:numFmt w:val="decimal"/>
      <w:lvlText w:val="%1.%2.%3.%4.%5.%6.%7.%8."/>
      <w:lvlJc w:val="left"/>
      <w:pPr>
        <w:tabs>
          <w:tab w:val="num" w:pos="425"/>
        </w:tabs>
        <w:ind w:left="425" w:hanging="425"/>
      </w:pPr>
      <w:rPr>
        <w:rFonts w:hint="default"/>
        <w:color w:val="auto"/>
      </w:rPr>
    </w:lvl>
    <w:lvl w:ilvl="8">
      <w:start w:val="1"/>
      <w:numFmt w:val="decimal"/>
      <w:lvlText w:val="%1.%2.%3.%4.%5.%6.%7.%8.%9."/>
      <w:lvlJc w:val="left"/>
      <w:pPr>
        <w:tabs>
          <w:tab w:val="num" w:pos="425"/>
        </w:tabs>
        <w:ind w:left="425" w:hanging="425"/>
      </w:pPr>
      <w:rPr>
        <w:rFonts w:hint="default"/>
        <w:color w:val="auto"/>
      </w:rPr>
    </w:lvl>
  </w:abstractNum>
  <w:abstractNum w:abstractNumId="28" w15:restartNumberingAfterBreak="0">
    <w:nsid w:val="67823ECB"/>
    <w:multiLevelType w:val="hybridMultilevel"/>
    <w:tmpl w:val="6D4096CE"/>
    <w:lvl w:ilvl="0" w:tplc="02829CE0">
      <w:start w:val="1"/>
      <w:numFmt w:val="bullet"/>
      <w:pStyle w:val="ListBullet3"/>
      <w:lvlText w:val="▪"/>
      <w:lvlJc w:val="left"/>
      <w:pPr>
        <w:ind w:left="1080" w:hanging="360"/>
      </w:pPr>
      <w:rPr>
        <w:rFonts w:ascii="Arial" w:hAnsi="Arial" w:hint="default"/>
        <w:color w:val="000000" w:themeColor="text1"/>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8490AFA"/>
    <w:multiLevelType w:val="multilevel"/>
    <w:tmpl w:val="1F347726"/>
    <w:lvl w:ilvl="0">
      <w:start w:val="1"/>
      <w:numFmt w:val="decimal"/>
      <w:pStyle w:val="DSNumberedList10"/>
      <w:lvlText w:val="%1."/>
      <w:lvlJc w:val="left"/>
      <w:pPr>
        <w:tabs>
          <w:tab w:val="num" w:pos="284"/>
        </w:tabs>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decimal"/>
      <w:lvlText w:val="%1.%2.%3.%4.%5."/>
      <w:lvlJc w:val="left"/>
      <w:pPr>
        <w:tabs>
          <w:tab w:val="num" w:pos="3119"/>
        </w:tabs>
        <w:ind w:left="3119" w:hanging="964"/>
      </w:pPr>
      <w:rPr>
        <w:rFonts w:hint="default"/>
      </w:rPr>
    </w:lvl>
    <w:lvl w:ilvl="5">
      <w:start w:val="1"/>
      <w:numFmt w:val="decimal"/>
      <w:lvlText w:val="%1.%2.%3.%4.%5.%6."/>
      <w:lvlJc w:val="left"/>
      <w:pPr>
        <w:tabs>
          <w:tab w:val="num" w:pos="4253"/>
        </w:tabs>
        <w:ind w:left="4253" w:hanging="1134"/>
      </w:pPr>
      <w:rPr>
        <w:rFonts w:hint="default"/>
      </w:rPr>
    </w:lvl>
    <w:lvl w:ilvl="6">
      <w:start w:val="1"/>
      <w:numFmt w:val="decimal"/>
      <w:lvlText w:val="%1.%2.%3.%4.%5.%6.%7."/>
      <w:lvlJc w:val="left"/>
      <w:pPr>
        <w:tabs>
          <w:tab w:val="num" w:pos="5557"/>
        </w:tabs>
        <w:ind w:left="5557" w:hanging="1304"/>
      </w:pPr>
      <w:rPr>
        <w:rFonts w:hint="default"/>
      </w:rPr>
    </w:lvl>
    <w:lvl w:ilvl="7">
      <w:start w:val="1"/>
      <w:numFmt w:val="decimal"/>
      <w:lvlText w:val="%1.%2.%3.%4.%5.%6.%7.%8."/>
      <w:lvlJc w:val="left"/>
      <w:pPr>
        <w:tabs>
          <w:tab w:val="num" w:pos="7031"/>
        </w:tabs>
        <w:ind w:left="7031" w:hanging="1474"/>
      </w:pPr>
      <w:rPr>
        <w:rFonts w:hint="default"/>
      </w:rPr>
    </w:lvl>
    <w:lvl w:ilvl="8">
      <w:start w:val="1"/>
      <w:numFmt w:val="decimal"/>
      <w:lvlText w:val="%1.%2.%3.%4.%5.%6.%7.%8.%9."/>
      <w:lvlJc w:val="left"/>
      <w:pPr>
        <w:tabs>
          <w:tab w:val="num" w:pos="8618"/>
        </w:tabs>
        <w:ind w:left="8618" w:hanging="1587"/>
      </w:pPr>
      <w:rPr>
        <w:rFonts w:hint="default"/>
      </w:rPr>
    </w:lvl>
  </w:abstractNum>
  <w:abstractNum w:abstractNumId="30" w15:restartNumberingAfterBreak="0">
    <w:nsid w:val="6B1D1232"/>
    <w:multiLevelType w:val="multilevel"/>
    <w:tmpl w:val="9F38C088"/>
    <w:lvl w:ilvl="0">
      <w:start w:val="1"/>
      <w:numFmt w:val="decimal"/>
      <w:pStyle w:val="Level1"/>
      <w:lvlText w:val="%1"/>
      <w:lvlJc w:val="left"/>
      <w:pPr>
        <w:tabs>
          <w:tab w:val="num" w:pos="680"/>
        </w:tabs>
        <w:ind w:left="680" w:hanging="680"/>
      </w:pPr>
      <w:rPr>
        <w:b/>
        <w:i w:val="0"/>
        <w:sz w:val="20"/>
      </w:rPr>
    </w:lvl>
    <w:lvl w:ilvl="1">
      <w:start w:val="1"/>
      <w:numFmt w:val="decimal"/>
      <w:pStyle w:val="Level2"/>
      <w:lvlText w:val="%1.%2"/>
      <w:lvlJc w:val="left"/>
      <w:pPr>
        <w:tabs>
          <w:tab w:val="num" w:pos="680"/>
        </w:tabs>
        <w:ind w:left="680" w:hanging="680"/>
      </w:pPr>
      <w:rPr>
        <w:b/>
        <w:i w:val="0"/>
        <w:sz w:val="20"/>
      </w:rPr>
    </w:lvl>
    <w:lvl w:ilvl="2">
      <w:start w:val="1"/>
      <w:numFmt w:val="decimal"/>
      <w:pStyle w:val="Level3"/>
      <w:lvlText w:val="%1.%2.%3"/>
      <w:lvlJc w:val="left"/>
      <w:pPr>
        <w:tabs>
          <w:tab w:val="num" w:pos="1361"/>
        </w:tabs>
        <w:ind w:left="1361" w:hanging="681"/>
      </w:pPr>
      <w:rPr>
        <w:b/>
        <w:i w:val="0"/>
        <w:sz w:val="17"/>
      </w:rPr>
    </w:lvl>
    <w:lvl w:ilvl="3">
      <w:start w:val="1"/>
      <w:numFmt w:val="lowerRoman"/>
      <w:pStyle w:val="Level4"/>
      <w:lvlText w:val="(%4)"/>
      <w:lvlJc w:val="left"/>
      <w:pPr>
        <w:tabs>
          <w:tab w:val="num" w:pos="2041"/>
        </w:tabs>
        <w:ind w:left="2041" w:hanging="680"/>
      </w:pPr>
    </w:lvl>
    <w:lvl w:ilvl="4">
      <w:start w:val="1"/>
      <w:numFmt w:val="lowerLetter"/>
      <w:pStyle w:val="Level5"/>
      <w:lvlText w:val="(%5)"/>
      <w:lvlJc w:val="left"/>
      <w:pPr>
        <w:tabs>
          <w:tab w:val="num" w:pos="2608"/>
        </w:tabs>
        <w:ind w:left="2608" w:hanging="567"/>
      </w:pPr>
    </w:lvl>
    <w:lvl w:ilvl="5">
      <w:start w:val="1"/>
      <w:numFmt w:val="upperRoman"/>
      <w:pStyle w:val="Level6"/>
      <w:lvlText w:val="(%6)"/>
      <w:lvlJc w:val="left"/>
      <w:pPr>
        <w:tabs>
          <w:tab w:val="num" w:pos="3288"/>
        </w:tabs>
        <w:ind w:left="3288" w:hanging="680"/>
      </w:pPr>
    </w:lvl>
    <w:lvl w:ilvl="6">
      <w:start w:val="1"/>
      <w:numFmt w:val="none"/>
      <w:pStyle w:val="Level7"/>
      <w:lvlText w:val=""/>
      <w:lvlJc w:val="left"/>
      <w:pPr>
        <w:tabs>
          <w:tab w:val="num" w:pos="3288"/>
        </w:tabs>
        <w:ind w:left="3288" w:hanging="680"/>
      </w:pPr>
    </w:lvl>
    <w:lvl w:ilvl="7">
      <w:start w:val="1"/>
      <w:numFmt w:val="none"/>
      <w:pStyle w:val="Level8"/>
      <w:lvlText w:val=""/>
      <w:lvlJc w:val="left"/>
      <w:pPr>
        <w:tabs>
          <w:tab w:val="num" w:pos="3288"/>
        </w:tabs>
        <w:ind w:left="3288" w:hanging="680"/>
      </w:pPr>
    </w:lvl>
    <w:lvl w:ilvl="8">
      <w:start w:val="1"/>
      <w:numFmt w:val="none"/>
      <w:pStyle w:val="Level9"/>
      <w:lvlText w:val=""/>
      <w:lvlJc w:val="left"/>
      <w:pPr>
        <w:tabs>
          <w:tab w:val="num" w:pos="3288"/>
        </w:tabs>
        <w:ind w:left="3288" w:hanging="680"/>
      </w:pPr>
    </w:lvl>
  </w:abstractNum>
  <w:abstractNum w:abstractNumId="31" w15:restartNumberingAfterBreak="0">
    <w:nsid w:val="6EC96871"/>
    <w:multiLevelType w:val="multilevel"/>
    <w:tmpl w:val="279036D2"/>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o"/>
      <w:lvlJc w:val="left"/>
      <w:pPr>
        <w:ind w:left="850" w:hanging="425"/>
      </w:pPr>
      <w:rPr>
        <w:rFonts w:ascii="Courier New" w:hAnsi="Courier New" w:hint="default"/>
        <w:color w:val="auto"/>
      </w:rPr>
    </w:lvl>
    <w:lvl w:ilvl="2">
      <w:start w:val="1"/>
      <w:numFmt w:val="bullet"/>
      <w:lvlText w:val=""/>
      <w:lvlJc w:val="left"/>
      <w:pPr>
        <w:ind w:left="1275" w:hanging="425"/>
      </w:pPr>
      <w:rPr>
        <w:rFonts w:ascii="Wingdings" w:hAnsi="Wingdings" w:hint="default"/>
        <w:color w:val="auto"/>
      </w:rPr>
    </w:lvl>
    <w:lvl w:ilvl="3">
      <w:start w:val="1"/>
      <w:numFmt w:val="bullet"/>
      <w:lvlText w:val=""/>
      <w:lvlJc w:val="left"/>
      <w:pPr>
        <w:ind w:left="1700" w:hanging="425"/>
      </w:pPr>
      <w:rPr>
        <w:rFonts w:ascii="Symbol" w:hAnsi="Symbol" w:hint="default"/>
        <w:color w:val="auto"/>
      </w:rPr>
    </w:lvl>
    <w:lvl w:ilvl="4">
      <w:start w:val="1"/>
      <w:numFmt w:val="bullet"/>
      <w:lvlText w:val="o"/>
      <w:lvlJc w:val="left"/>
      <w:pPr>
        <w:ind w:left="2125" w:hanging="425"/>
      </w:pPr>
      <w:rPr>
        <w:rFonts w:ascii="Courier New" w:hAnsi="Courier New" w:hint="default"/>
        <w:color w:val="auto"/>
      </w:rPr>
    </w:lvl>
    <w:lvl w:ilvl="5">
      <w:start w:val="1"/>
      <w:numFmt w:val="bullet"/>
      <w:lvlText w:val=""/>
      <w:lvlJc w:val="left"/>
      <w:pPr>
        <w:ind w:left="2550" w:hanging="425"/>
      </w:pPr>
      <w:rPr>
        <w:rFonts w:ascii="Wingdings" w:hAnsi="Wingdings" w:hint="default"/>
        <w:color w:val="auto"/>
      </w:rPr>
    </w:lvl>
    <w:lvl w:ilvl="6">
      <w:start w:val="1"/>
      <w:numFmt w:val="bullet"/>
      <w:lvlText w:val=""/>
      <w:lvlJc w:val="left"/>
      <w:pPr>
        <w:ind w:left="2975" w:hanging="425"/>
      </w:pPr>
      <w:rPr>
        <w:rFonts w:ascii="Symbol" w:hAnsi="Symbol" w:hint="default"/>
        <w:color w:val="auto"/>
      </w:rPr>
    </w:lvl>
    <w:lvl w:ilvl="7">
      <w:start w:val="1"/>
      <w:numFmt w:val="bullet"/>
      <w:lvlText w:val="o"/>
      <w:lvlJc w:val="left"/>
      <w:pPr>
        <w:ind w:left="3400" w:hanging="425"/>
      </w:pPr>
      <w:rPr>
        <w:rFonts w:ascii="Courier New" w:hAnsi="Courier New" w:hint="default"/>
        <w:color w:val="auto"/>
      </w:rPr>
    </w:lvl>
    <w:lvl w:ilvl="8">
      <w:start w:val="1"/>
      <w:numFmt w:val="bullet"/>
      <w:lvlText w:val=""/>
      <w:lvlJc w:val="left"/>
      <w:pPr>
        <w:ind w:left="3825" w:hanging="425"/>
      </w:pPr>
      <w:rPr>
        <w:rFonts w:ascii="Wingdings" w:hAnsi="Wingdings" w:hint="default"/>
        <w:color w:val="auto"/>
      </w:rPr>
    </w:lvl>
  </w:abstractNum>
  <w:abstractNum w:abstractNumId="32" w15:restartNumberingAfterBreak="0">
    <w:nsid w:val="70D272AE"/>
    <w:multiLevelType w:val="multilevel"/>
    <w:tmpl w:val="90A0BC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760978EE"/>
    <w:multiLevelType w:val="hybridMultilevel"/>
    <w:tmpl w:val="25AA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23"/>
  </w:num>
  <w:num w:numId="16">
    <w:abstractNumId w:val="17"/>
  </w:num>
  <w:num w:numId="17">
    <w:abstractNumId w:val="10"/>
  </w:num>
  <w:num w:numId="18">
    <w:abstractNumId w:val="33"/>
  </w:num>
  <w:num w:numId="19">
    <w:abstractNumId w:val="3"/>
    <w:lvlOverride w:ilvl="0">
      <w:startOverride w:val="1"/>
    </w:lvlOverride>
  </w:num>
  <w:num w:numId="20">
    <w:abstractNumId w:val="6"/>
  </w:num>
  <w:num w:numId="21">
    <w:abstractNumId w:val="29"/>
  </w:num>
  <w:num w:numId="22">
    <w:abstractNumId w:val="14"/>
  </w:num>
  <w:num w:numId="23">
    <w:abstractNumId w:val="26"/>
  </w:num>
  <w:num w:numId="24">
    <w:abstractNumId w:val="19"/>
  </w:num>
  <w:num w:numId="25">
    <w:abstractNumId w:val="32"/>
  </w:num>
  <w:num w:numId="26">
    <w:abstractNumId w:val="8"/>
    <w:lvlOverride w:ilvl="4">
      <w:lvl w:ilvl="4">
        <w:start w:val="1"/>
        <w:numFmt w:val="decimal"/>
        <w:lvlText w:val="%1.%2.%3.%4.%5"/>
        <w:lvlJc w:val="left"/>
        <w:pPr>
          <w:ind w:left="1008" w:hanging="1008"/>
        </w:pPr>
      </w:lvl>
    </w:lvlOverride>
  </w:num>
  <w:num w:numId="27">
    <w:abstractNumId w:val="5"/>
  </w:num>
  <w:num w:numId="28">
    <w:abstractNumId w:val="16"/>
  </w:num>
  <w:num w:numId="29">
    <w:abstractNumId w:val="18"/>
  </w:num>
  <w:num w:numId="30">
    <w:abstractNumId w:val="12"/>
  </w:num>
  <w:num w:numId="31">
    <w:abstractNumId w:val="25"/>
  </w:num>
  <w:num w:numId="32">
    <w:abstractNumId w:val="11"/>
  </w:num>
  <w:num w:numId="33">
    <w:abstractNumId w:val="15"/>
  </w:num>
  <w:num w:numId="34">
    <w:abstractNumId w:val="2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3"/>
  </w:num>
  <w:num w:numId="41">
    <w:abstractNumId w:val="28"/>
  </w:num>
  <w:num w:numId="42">
    <w:abstractNumId w:val="9"/>
  </w:num>
  <w:num w:numId="43">
    <w:abstractNumId w:val="9"/>
  </w:num>
  <w:num w:numId="44">
    <w:abstractNumId w:val="9"/>
  </w:num>
  <w:num w:numId="45">
    <w:abstractNumId w:val="31"/>
  </w:num>
  <w:num w:numId="46">
    <w:abstractNumId w:val="27"/>
  </w:num>
  <w:num w:numId="47">
    <w:abstractNumId w:val="2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Number" w:val="9705752.1"/>
  </w:docVars>
  <w:rsids>
    <w:rsidRoot w:val="008F22AD"/>
    <w:rsid w:val="00004C3D"/>
    <w:rsid w:val="0000508D"/>
    <w:rsid w:val="0000613C"/>
    <w:rsid w:val="00007780"/>
    <w:rsid w:val="00007C78"/>
    <w:rsid w:val="00010AC7"/>
    <w:rsid w:val="00010E25"/>
    <w:rsid w:val="000116F2"/>
    <w:rsid w:val="000137C2"/>
    <w:rsid w:val="00013CAE"/>
    <w:rsid w:val="000163A5"/>
    <w:rsid w:val="00017DA0"/>
    <w:rsid w:val="00023412"/>
    <w:rsid w:val="000254A4"/>
    <w:rsid w:val="00027E95"/>
    <w:rsid w:val="00030057"/>
    <w:rsid w:val="00031452"/>
    <w:rsid w:val="000314FE"/>
    <w:rsid w:val="00034098"/>
    <w:rsid w:val="000400F4"/>
    <w:rsid w:val="00041936"/>
    <w:rsid w:val="00041E9A"/>
    <w:rsid w:val="00042A90"/>
    <w:rsid w:val="00044A32"/>
    <w:rsid w:val="00044A35"/>
    <w:rsid w:val="00045599"/>
    <w:rsid w:val="00046376"/>
    <w:rsid w:val="00047D24"/>
    <w:rsid w:val="00051974"/>
    <w:rsid w:val="000539B8"/>
    <w:rsid w:val="00053C4A"/>
    <w:rsid w:val="000549C8"/>
    <w:rsid w:val="000551D0"/>
    <w:rsid w:val="0005768E"/>
    <w:rsid w:val="00063997"/>
    <w:rsid w:val="00064976"/>
    <w:rsid w:val="00065586"/>
    <w:rsid w:val="000655EC"/>
    <w:rsid w:val="00066F1C"/>
    <w:rsid w:val="0007031E"/>
    <w:rsid w:val="000712E3"/>
    <w:rsid w:val="00072056"/>
    <w:rsid w:val="00073639"/>
    <w:rsid w:val="00076994"/>
    <w:rsid w:val="00076F76"/>
    <w:rsid w:val="0007733E"/>
    <w:rsid w:val="00077B01"/>
    <w:rsid w:val="000813F3"/>
    <w:rsid w:val="00082659"/>
    <w:rsid w:val="0008271E"/>
    <w:rsid w:val="00082BED"/>
    <w:rsid w:val="00085012"/>
    <w:rsid w:val="000860C7"/>
    <w:rsid w:val="00090C8F"/>
    <w:rsid w:val="00090DF0"/>
    <w:rsid w:val="000916C1"/>
    <w:rsid w:val="000965A7"/>
    <w:rsid w:val="000A0DEF"/>
    <w:rsid w:val="000A1ADC"/>
    <w:rsid w:val="000A499D"/>
    <w:rsid w:val="000B35B3"/>
    <w:rsid w:val="000B3B5D"/>
    <w:rsid w:val="000B7FFD"/>
    <w:rsid w:val="000C0960"/>
    <w:rsid w:val="000C5BFD"/>
    <w:rsid w:val="000C5F21"/>
    <w:rsid w:val="000C647A"/>
    <w:rsid w:val="000D1FF3"/>
    <w:rsid w:val="000D2730"/>
    <w:rsid w:val="000D4568"/>
    <w:rsid w:val="000D45AA"/>
    <w:rsid w:val="000D4AB4"/>
    <w:rsid w:val="000D562D"/>
    <w:rsid w:val="000D69A1"/>
    <w:rsid w:val="000E10A4"/>
    <w:rsid w:val="000E2E23"/>
    <w:rsid w:val="000E315A"/>
    <w:rsid w:val="000E4FF7"/>
    <w:rsid w:val="000E749F"/>
    <w:rsid w:val="000F2253"/>
    <w:rsid w:val="000F2280"/>
    <w:rsid w:val="000F2284"/>
    <w:rsid w:val="000F249F"/>
    <w:rsid w:val="000F29AA"/>
    <w:rsid w:val="000F47EC"/>
    <w:rsid w:val="00101D3A"/>
    <w:rsid w:val="001067A1"/>
    <w:rsid w:val="00112B46"/>
    <w:rsid w:val="001130AC"/>
    <w:rsid w:val="001131D3"/>
    <w:rsid w:val="001135D1"/>
    <w:rsid w:val="0011399A"/>
    <w:rsid w:val="00114639"/>
    <w:rsid w:val="00114952"/>
    <w:rsid w:val="00117A1F"/>
    <w:rsid w:val="0012072A"/>
    <w:rsid w:val="001216DF"/>
    <w:rsid w:val="00121C63"/>
    <w:rsid w:val="0012409C"/>
    <w:rsid w:val="00124954"/>
    <w:rsid w:val="00125151"/>
    <w:rsid w:val="00125766"/>
    <w:rsid w:val="00125A8A"/>
    <w:rsid w:val="00126C19"/>
    <w:rsid w:val="0012788C"/>
    <w:rsid w:val="001303B3"/>
    <w:rsid w:val="00131B60"/>
    <w:rsid w:val="001351F2"/>
    <w:rsid w:val="00137EF9"/>
    <w:rsid w:val="00140CEE"/>
    <w:rsid w:val="00142A62"/>
    <w:rsid w:val="0014326B"/>
    <w:rsid w:val="00145A6F"/>
    <w:rsid w:val="001460C2"/>
    <w:rsid w:val="001462AB"/>
    <w:rsid w:val="001528F0"/>
    <w:rsid w:val="00152C0A"/>
    <w:rsid w:val="00155149"/>
    <w:rsid w:val="00157869"/>
    <w:rsid w:val="00157C62"/>
    <w:rsid w:val="0016074D"/>
    <w:rsid w:val="00161460"/>
    <w:rsid w:val="001645CB"/>
    <w:rsid w:val="001653D8"/>
    <w:rsid w:val="001676D9"/>
    <w:rsid w:val="00173E2C"/>
    <w:rsid w:val="00174A83"/>
    <w:rsid w:val="00175153"/>
    <w:rsid w:val="00175529"/>
    <w:rsid w:val="00177C36"/>
    <w:rsid w:val="00180193"/>
    <w:rsid w:val="001812C8"/>
    <w:rsid w:val="001837D0"/>
    <w:rsid w:val="00185ED9"/>
    <w:rsid w:val="001860E4"/>
    <w:rsid w:val="00186EC8"/>
    <w:rsid w:val="001910B2"/>
    <w:rsid w:val="00191396"/>
    <w:rsid w:val="00192C77"/>
    <w:rsid w:val="00196448"/>
    <w:rsid w:val="00196CBE"/>
    <w:rsid w:val="001A042A"/>
    <w:rsid w:val="001A134A"/>
    <w:rsid w:val="001B17E9"/>
    <w:rsid w:val="001B3E0A"/>
    <w:rsid w:val="001B44CD"/>
    <w:rsid w:val="001B4BC2"/>
    <w:rsid w:val="001C127A"/>
    <w:rsid w:val="001C16A1"/>
    <w:rsid w:val="001C241F"/>
    <w:rsid w:val="001C2C7C"/>
    <w:rsid w:val="001C625D"/>
    <w:rsid w:val="001C67DC"/>
    <w:rsid w:val="001D08D0"/>
    <w:rsid w:val="001D2483"/>
    <w:rsid w:val="001E05EA"/>
    <w:rsid w:val="001E3210"/>
    <w:rsid w:val="001E3362"/>
    <w:rsid w:val="001E40DA"/>
    <w:rsid w:val="001E526B"/>
    <w:rsid w:val="001E576E"/>
    <w:rsid w:val="001E6903"/>
    <w:rsid w:val="001E75DE"/>
    <w:rsid w:val="001F169C"/>
    <w:rsid w:val="001F24FE"/>
    <w:rsid w:val="001F2FD5"/>
    <w:rsid w:val="001F56F1"/>
    <w:rsid w:val="001F6905"/>
    <w:rsid w:val="001F7B5C"/>
    <w:rsid w:val="0020043E"/>
    <w:rsid w:val="00202C44"/>
    <w:rsid w:val="002034B9"/>
    <w:rsid w:val="0020559A"/>
    <w:rsid w:val="002063E5"/>
    <w:rsid w:val="00207011"/>
    <w:rsid w:val="00214501"/>
    <w:rsid w:val="00225EDA"/>
    <w:rsid w:val="00226565"/>
    <w:rsid w:val="0022780D"/>
    <w:rsid w:val="00227ECE"/>
    <w:rsid w:val="00230F41"/>
    <w:rsid w:val="00231673"/>
    <w:rsid w:val="0023345A"/>
    <w:rsid w:val="00234D88"/>
    <w:rsid w:val="00237631"/>
    <w:rsid w:val="00237C80"/>
    <w:rsid w:val="00240824"/>
    <w:rsid w:val="00241B52"/>
    <w:rsid w:val="002439CC"/>
    <w:rsid w:val="00243AB4"/>
    <w:rsid w:val="0024787C"/>
    <w:rsid w:val="00251B56"/>
    <w:rsid w:val="00256617"/>
    <w:rsid w:val="00256D2E"/>
    <w:rsid w:val="0025793D"/>
    <w:rsid w:val="00260807"/>
    <w:rsid w:val="00260927"/>
    <w:rsid w:val="00262C73"/>
    <w:rsid w:val="00266487"/>
    <w:rsid w:val="00273B95"/>
    <w:rsid w:val="00274C61"/>
    <w:rsid w:val="002751B3"/>
    <w:rsid w:val="00276951"/>
    <w:rsid w:val="002775E5"/>
    <w:rsid w:val="00283C64"/>
    <w:rsid w:val="0028771E"/>
    <w:rsid w:val="002A043F"/>
    <w:rsid w:val="002A1FD7"/>
    <w:rsid w:val="002A3143"/>
    <w:rsid w:val="002A35B7"/>
    <w:rsid w:val="002A7724"/>
    <w:rsid w:val="002B1ABB"/>
    <w:rsid w:val="002B1B7A"/>
    <w:rsid w:val="002B1CE9"/>
    <w:rsid w:val="002B261A"/>
    <w:rsid w:val="002B51CF"/>
    <w:rsid w:val="002B5F79"/>
    <w:rsid w:val="002C1C80"/>
    <w:rsid w:val="002C3681"/>
    <w:rsid w:val="002C4926"/>
    <w:rsid w:val="002C50ED"/>
    <w:rsid w:val="002C5A1D"/>
    <w:rsid w:val="002D4F6B"/>
    <w:rsid w:val="002E0686"/>
    <w:rsid w:val="002E148F"/>
    <w:rsid w:val="002E1D8C"/>
    <w:rsid w:val="002E571D"/>
    <w:rsid w:val="002E60E7"/>
    <w:rsid w:val="002F1277"/>
    <w:rsid w:val="002F3BCC"/>
    <w:rsid w:val="002F40A4"/>
    <w:rsid w:val="002F45D0"/>
    <w:rsid w:val="002F5F16"/>
    <w:rsid w:val="002F69E4"/>
    <w:rsid w:val="002F7A7C"/>
    <w:rsid w:val="002F7D3E"/>
    <w:rsid w:val="00300003"/>
    <w:rsid w:val="003049BC"/>
    <w:rsid w:val="00304E3F"/>
    <w:rsid w:val="00311580"/>
    <w:rsid w:val="00311D6A"/>
    <w:rsid w:val="00316882"/>
    <w:rsid w:val="00322CF3"/>
    <w:rsid w:val="00324122"/>
    <w:rsid w:val="00324D31"/>
    <w:rsid w:val="00324D3A"/>
    <w:rsid w:val="003260A5"/>
    <w:rsid w:val="00326825"/>
    <w:rsid w:val="00326D5D"/>
    <w:rsid w:val="00327A23"/>
    <w:rsid w:val="00330BC1"/>
    <w:rsid w:val="00331DA7"/>
    <w:rsid w:val="00332326"/>
    <w:rsid w:val="00333DB2"/>
    <w:rsid w:val="00333EF1"/>
    <w:rsid w:val="00334737"/>
    <w:rsid w:val="003353DA"/>
    <w:rsid w:val="00335481"/>
    <w:rsid w:val="00337F4A"/>
    <w:rsid w:val="00341428"/>
    <w:rsid w:val="00346047"/>
    <w:rsid w:val="00346121"/>
    <w:rsid w:val="00346F07"/>
    <w:rsid w:val="00347275"/>
    <w:rsid w:val="00347299"/>
    <w:rsid w:val="00347E01"/>
    <w:rsid w:val="00351036"/>
    <w:rsid w:val="00351E4B"/>
    <w:rsid w:val="00354379"/>
    <w:rsid w:val="00360BFE"/>
    <w:rsid w:val="00361176"/>
    <w:rsid w:val="00361B57"/>
    <w:rsid w:val="003641A5"/>
    <w:rsid w:val="00366D28"/>
    <w:rsid w:val="003673C8"/>
    <w:rsid w:val="003707E8"/>
    <w:rsid w:val="0037083C"/>
    <w:rsid w:val="00373792"/>
    <w:rsid w:val="00374410"/>
    <w:rsid w:val="003748E3"/>
    <w:rsid w:val="0038040D"/>
    <w:rsid w:val="00382DD1"/>
    <w:rsid w:val="00384F5F"/>
    <w:rsid w:val="00386437"/>
    <w:rsid w:val="003909AD"/>
    <w:rsid w:val="00390AC2"/>
    <w:rsid w:val="00390CE2"/>
    <w:rsid w:val="00391477"/>
    <w:rsid w:val="00394F6F"/>
    <w:rsid w:val="003A06AF"/>
    <w:rsid w:val="003A0FAF"/>
    <w:rsid w:val="003A0FBF"/>
    <w:rsid w:val="003A29D4"/>
    <w:rsid w:val="003A4699"/>
    <w:rsid w:val="003A4A89"/>
    <w:rsid w:val="003A768A"/>
    <w:rsid w:val="003B01D4"/>
    <w:rsid w:val="003B4969"/>
    <w:rsid w:val="003B5F3C"/>
    <w:rsid w:val="003B6308"/>
    <w:rsid w:val="003B630B"/>
    <w:rsid w:val="003B6A01"/>
    <w:rsid w:val="003B6ED1"/>
    <w:rsid w:val="003C4225"/>
    <w:rsid w:val="003C4BAA"/>
    <w:rsid w:val="003C6CE9"/>
    <w:rsid w:val="003D00F5"/>
    <w:rsid w:val="003D05B4"/>
    <w:rsid w:val="003D25C0"/>
    <w:rsid w:val="003D5F3D"/>
    <w:rsid w:val="003D5FEB"/>
    <w:rsid w:val="003E0D1D"/>
    <w:rsid w:val="003E4F3A"/>
    <w:rsid w:val="003E598F"/>
    <w:rsid w:val="003E7870"/>
    <w:rsid w:val="003F0E30"/>
    <w:rsid w:val="003F133B"/>
    <w:rsid w:val="003F2B7F"/>
    <w:rsid w:val="003F3AEF"/>
    <w:rsid w:val="003F449E"/>
    <w:rsid w:val="003F4E8F"/>
    <w:rsid w:val="003F5B77"/>
    <w:rsid w:val="00402658"/>
    <w:rsid w:val="0041135A"/>
    <w:rsid w:val="00411B34"/>
    <w:rsid w:val="00412C37"/>
    <w:rsid w:val="00413AB7"/>
    <w:rsid w:val="004142D0"/>
    <w:rsid w:val="00414666"/>
    <w:rsid w:val="0041526E"/>
    <w:rsid w:val="00416AC2"/>
    <w:rsid w:val="0042436A"/>
    <w:rsid w:val="004263D3"/>
    <w:rsid w:val="00427BA6"/>
    <w:rsid w:val="00430681"/>
    <w:rsid w:val="00431CAA"/>
    <w:rsid w:val="00433CA8"/>
    <w:rsid w:val="0043610C"/>
    <w:rsid w:val="004369FA"/>
    <w:rsid w:val="0044169F"/>
    <w:rsid w:val="0044171A"/>
    <w:rsid w:val="0044226F"/>
    <w:rsid w:val="00443484"/>
    <w:rsid w:val="0044389B"/>
    <w:rsid w:val="004440EF"/>
    <w:rsid w:val="0044514C"/>
    <w:rsid w:val="00445614"/>
    <w:rsid w:val="004463DF"/>
    <w:rsid w:val="004474AC"/>
    <w:rsid w:val="00447E0A"/>
    <w:rsid w:val="0045074E"/>
    <w:rsid w:val="00450E16"/>
    <w:rsid w:val="00451223"/>
    <w:rsid w:val="00453889"/>
    <w:rsid w:val="00453B7D"/>
    <w:rsid w:val="00457156"/>
    <w:rsid w:val="00461763"/>
    <w:rsid w:val="0046583B"/>
    <w:rsid w:val="0046732B"/>
    <w:rsid w:val="00470FEF"/>
    <w:rsid w:val="0047323F"/>
    <w:rsid w:val="00473C9A"/>
    <w:rsid w:val="0047553B"/>
    <w:rsid w:val="00477D76"/>
    <w:rsid w:val="004801C7"/>
    <w:rsid w:val="00482B22"/>
    <w:rsid w:val="00483CAB"/>
    <w:rsid w:val="0048481C"/>
    <w:rsid w:val="00485879"/>
    <w:rsid w:val="00487562"/>
    <w:rsid w:val="004941DC"/>
    <w:rsid w:val="004A41B8"/>
    <w:rsid w:val="004A6392"/>
    <w:rsid w:val="004A732E"/>
    <w:rsid w:val="004B6B7C"/>
    <w:rsid w:val="004B756C"/>
    <w:rsid w:val="004C2ADC"/>
    <w:rsid w:val="004C2E19"/>
    <w:rsid w:val="004C30E5"/>
    <w:rsid w:val="004C690D"/>
    <w:rsid w:val="004D67EF"/>
    <w:rsid w:val="004D6ECA"/>
    <w:rsid w:val="004E21BF"/>
    <w:rsid w:val="004E4E65"/>
    <w:rsid w:val="004E5808"/>
    <w:rsid w:val="004F1360"/>
    <w:rsid w:val="004F7476"/>
    <w:rsid w:val="004F784B"/>
    <w:rsid w:val="0050417B"/>
    <w:rsid w:val="00505552"/>
    <w:rsid w:val="00506142"/>
    <w:rsid w:val="00506A04"/>
    <w:rsid w:val="00515562"/>
    <w:rsid w:val="0052122B"/>
    <w:rsid w:val="00522444"/>
    <w:rsid w:val="005261DC"/>
    <w:rsid w:val="005265DF"/>
    <w:rsid w:val="00533F0F"/>
    <w:rsid w:val="0053419C"/>
    <w:rsid w:val="00534DE2"/>
    <w:rsid w:val="0053570F"/>
    <w:rsid w:val="00535DE0"/>
    <w:rsid w:val="00536099"/>
    <w:rsid w:val="00536B3A"/>
    <w:rsid w:val="005442E0"/>
    <w:rsid w:val="0054645B"/>
    <w:rsid w:val="00550AB0"/>
    <w:rsid w:val="0055226C"/>
    <w:rsid w:val="00552967"/>
    <w:rsid w:val="0055377D"/>
    <w:rsid w:val="005546D9"/>
    <w:rsid w:val="0055515C"/>
    <w:rsid w:val="005554EC"/>
    <w:rsid w:val="0056027B"/>
    <w:rsid w:val="005608B6"/>
    <w:rsid w:val="00560B74"/>
    <w:rsid w:val="00560C30"/>
    <w:rsid w:val="00565D83"/>
    <w:rsid w:val="005663B4"/>
    <w:rsid w:val="00566781"/>
    <w:rsid w:val="00566EDB"/>
    <w:rsid w:val="0057243D"/>
    <w:rsid w:val="0057764D"/>
    <w:rsid w:val="00577A49"/>
    <w:rsid w:val="00577C6A"/>
    <w:rsid w:val="00580286"/>
    <w:rsid w:val="005803CC"/>
    <w:rsid w:val="00580A1D"/>
    <w:rsid w:val="00582117"/>
    <w:rsid w:val="0058393D"/>
    <w:rsid w:val="00590903"/>
    <w:rsid w:val="00590B8B"/>
    <w:rsid w:val="005945AF"/>
    <w:rsid w:val="00596AB3"/>
    <w:rsid w:val="005A038B"/>
    <w:rsid w:val="005A37F7"/>
    <w:rsid w:val="005A3F86"/>
    <w:rsid w:val="005A51CC"/>
    <w:rsid w:val="005A5543"/>
    <w:rsid w:val="005A6B39"/>
    <w:rsid w:val="005A7CDA"/>
    <w:rsid w:val="005B1B18"/>
    <w:rsid w:val="005B2150"/>
    <w:rsid w:val="005B24B9"/>
    <w:rsid w:val="005B5998"/>
    <w:rsid w:val="005B7559"/>
    <w:rsid w:val="005B76B9"/>
    <w:rsid w:val="005C0D6D"/>
    <w:rsid w:val="005C2877"/>
    <w:rsid w:val="005C2E27"/>
    <w:rsid w:val="005C4611"/>
    <w:rsid w:val="005C4E64"/>
    <w:rsid w:val="005D5CC9"/>
    <w:rsid w:val="005D76B8"/>
    <w:rsid w:val="005E129C"/>
    <w:rsid w:val="005E1B50"/>
    <w:rsid w:val="005E2042"/>
    <w:rsid w:val="005E474B"/>
    <w:rsid w:val="005E50D6"/>
    <w:rsid w:val="005E53FE"/>
    <w:rsid w:val="005F36DE"/>
    <w:rsid w:val="005F3B46"/>
    <w:rsid w:val="00600F8F"/>
    <w:rsid w:val="00601844"/>
    <w:rsid w:val="00601F96"/>
    <w:rsid w:val="00605B78"/>
    <w:rsid w:val="00605C9A"/>
    <w:rsid w:val="006063C9"/>
    <w:rsid w:val="00607141"/>
    <w:rsid w:val="006115E4"/>
    <w:rsid w:val="00613666"/>
    <w:rsid w:val="00615211"/>
    <w:rsid w:val="00615A49"/>
    <w:rsid w:val="006166C7"/>
    <w:rsid w:val="0061699F"/>
    <w:rsid w:val="0061766D"/>
    <w:rsid w:val="00620F99"/>
    <w:rsid w:val="006211CE"/>
    <w:rsid w:val="00622E43"/>
    <w:rsid w:val="006258E0"/>
    <w:rsid w:val="006271BD"/>
    <w:rsid w:val="00631826"/>
    <w:rsid w:val="00631E7F"/>
    <w:rsid w:val="00632BC5"/>
    <w:rsid w:val="00642529"/>
    <w:rsid w:val="0064384C"/>
    <w:rsid w:val="006448E8"/>
    <w:rsid w:val="0064640C"/>
    <w:rsid w:val="0065074C"/>
    <w:rsid w:val="006510EA"/>
    <w:rsid w:val="006531C2"/>
    <w:rsid w:val="00663F98"/>
    <w:rsid w:val="00664228"/>
    <w:rsid w:val="00666C48"/>
    <w:rsid w:val="006702FD"/>
    <w:rsid w:val="00670992"/>
    <w:rsid w:val="00675B65"/>
    <w:rsid w:val="006771B9"/>
    <w:rsid w:val="0067756D"/>
    <w:rsid w:val="00677648"/>
    <w:rsid w:val="00680B6B"/>
    <w:rsid w:val="00684D0C"/>
    <w:rsid w:val="00685B9C"/>
    <w:rsid w:val="006863CA"/>
    <w:rsid w:val="00690473"/>
    <w:rsid w:val="00690E98"/>
    <w:rsid w:val="006920A3"/>
    <w:rsid w:val="006937FE"/>
    <w:rsid w:val="00695C73"/>
    <w:rsid w:val="006967D0"/>
    <w:rsid w:val="00697C15"/>
    <w:rsid w:val="006A33CA"/>
    <w:rsid w:val="006A3E6E"/>
    <w:rsid w:val="006A536F"/>
    <w:rsid w:val="006A5497"/>
    <w:rsid w:val="006A5623"/>
    <w:rsid w:val="006B0244"/>
    <w:rsid w:val="006B0FE2"/>
    <w:rsid w:val="006B1561"/>
    <w:rsid w:val="006B20CD"/>
    <w:rsid w:val="006B45D6"/>
    <w:rsid w:val="006B566F"/>
    <w:rsid w:val="006B7E07"/>
    <w:rsid w:val="006C02FF"/>
    <w:rsid w:val="006C1134"/>
    <w:rsid w:val="006C1BD7"/>
    <w:rsid w:val="006C344B"/>
    <w:rsid w:val="006D0FD3"/>
    <w:rsid w:val="006D2337"/>
    <w:rsid w:val="006D44BF"/>
    <w:rsid w:val="006D5635"/>
    <w:rsid w:val="006D6689"/>
    <w:rsid w:val="006E1D95"/>
    <w:rsid w:val="006E54B9"/>
    <w:rsid w:val="006E6EC5"/>
    <w:rsid w:val="006F0533"/>
    <w:rsid w:val="006F1595"/>
    <w:rsid w:val="006F18CA"/>
    <w:rsid w:val="006F2002"/>
    <w:rsid w:val="006F5759"/>
    <w:rsid w:val="006F6518"/>
    <w:rsid w:val="006F7750"/>
    <w:rsid w:val="006F78D1"/>
    <w:rsid w:val="006F7E15"/>
    <w:rsid w:val="006F7F1A"/>
    <w:rsid w:val="0070346A"/>
    <w:rsid w:val="00703E61"/>
    <w:rsid w:val="00705BD1"/>
    <w:rsid w:val="00707A02"/>
    <w:rsid w:val="007119DA"/>
    <w:rsid w:val="00711C4D"/>
    <w:rsid w:val="00712143"/>
    <w:rsid w:val="00714878"/>
    <w:rsid w:val="00714FA4"/>
    <w:rsid w:val="00716689"/>
    <w:rsid w:val="00720395"/>
    <w:rsid w:val="00720DBB"/>
    <w:rsid w:val="00721C0C"/>
    <w:rsid w:val="007269DC"/>
    <w:rsid w:val="00727A01"/>
    <w:rsid w:val="00731099"/>
    <w:rsid w:val="00740582"/>
    <w:rsid w:val="007406F5"/>
    <w:rsid w:val="007424BD"/>
    <w:rsid w:val="00745B42"/>
    <w:rsid w:val="0074603A"/>
    <w:rsid w:val="00746474"/>
    <w:rsid w:val="00747AE1"/>
    <w:rsid w:val="00751D13"/>
    <w:rsid w:val="0075777E"/>
    <w:rsid w:val="00757E9C"/>
    <w:rsid w:val="00760438"/>
    <w:rsid w:val="00763F90"/>
    <w:rsid w:val="007646DE"/>
    <w:rsid w:val="00764732"/>
    <w:rsid w:val="0076527B"/>
    <w:rsid w:val="007666AC"/>
    <w:rsid w:val="00766FF3"/>
    <w:rsid w:val="00770485"/>
    <w:rsid w:val="007711D1"/>
    <w:rsid w:val="00772266"/>
    <w:rsid w:val="00773D37"/>
    <w:rsid w:val="00774376"/>
    <w:rsid w:val="00774467"/>
    <w:rsid w:val="00774510"/>
    <w:rsid w:val="0078099F"/>
    <w:rsid w:val="0078351D"/>
    <w:rsid w:val="00786E41"/>
    <w:rsid w:val="00790B19"/>
    <w:rsid w:val="00790C98"/>
    <w:rsid w:val="00791DB8"/>
    <w:rsid w:val="00791FDB"/>
    <w:rsid w:val="0079502A"/>
    <w:rsid w:val="00796369"/>
    <w:rsid w:val="00796990"/>
    <w:rsid w:val="007A0152"/>
    <w:rsid w:val="007A07DE"/>
    <w:rsid w:val="007A4303"/>
    <w:rsid w:val="007A70B8"/>
    <w:rsid w:val="007B0541"/>
    <w:rsid w:val="007B3BF5"/>
    <w:rsid w:val="007B45F8"/>
    <w:rsid w:val="007B6C98"/>
    <w:rsid w:val="007B74AC"/>
    <w:rsid w:val="007C2B1A"/>
    <w:rsid w:val="007C4D8A"/>
    <w:rsid w:val="007C4FD7"/>
    <w:rsid w:val="007C658C"/>
    <w:rsid w:val="007C7470"/>
    <w:rsid w:val="007C779B"/>
    <w:rsid w:val="007D2B0C"/>
    <w:rsid w:val="007D3275"/>
    <w:rsid w:val="007D39E9"/>
    <w:rsid w:val="007D3C82"/>
    <w:rsid w:val="007D3CD3"/>
    <w:rsid w:val="007D7ECA"/>
    <w:rsid w:val="007E1033"/>
    <w:rsid w:val="007E1BB5"/>
    <w:rsid w:val="007E2757"/>
    <w:rsid w:val="007E2EAD"/>
    <w:rsid w:val="007E309D"/>
    <w:rsid w:val="007E4173"/>
    <w:rsid w:val="007E4232"/>
    <w:rsid w:val="007E5780"/>
    <w:rsid w:val="007E5F42"/>
    <w:rsid w:val="007E6033"/>
    <w:rsid w:val="007E69FC"/>
    <w:rsid w:val="007E6F92"/>
    <w:rsid w:val="007E7033"/>
    <w:rsid w:val="007E7CDF"/>
    <w:rsid w:val="007F048D"/>
    <w:rsid w:val="007F07FE"/>
    <w:rsid w:val="007F169F"/>
    <w:rsid w:val="007F3FF6"/>
    <w:rsid w:val="007F7614"/>
    <w:rsid w:val="00801EF6"/>
    <w:rsid w:val="0080478B"/>
    <w:rsid w:val="00804CC3"/>
    <w:rsid w:val="00807D17"/>
    <w:rsid w:val="008130EE"/>
    <w:rsid w:val="00820FC9"/>
    <w:rsid w:val="00822D90"/>
    <w:rsid w:val="0082346F"/>
    <w:rsid w:val="00824166"/>
    <w:rsid w:val="00824192"/>
    <w:rsid w:val="008259B7"/>
    <w:rsid w:val="00825AFF"/>
    <w:rsid w:val="0082624D"/>
    <w:rsid w:val="0082784A"/>
    <w:rsid w:val="0083056F"/>
    <w:rsid w:val="00830CD0"/>
    <w:rsid w:val="0083135A"/>
    <w:rsid w:val="00836AD2"/>
    <w:rsid w:val="00836B4A"/>
    <w:rsid w:val="008377E5"/>
    <w:rsid w:val="0084141E"/>
    <w:rsid w:val="00841907"/>
    <w:rsid w:val="00842D63"/>
    <w:rsid w:val="0084398D"/>
    <w:rsid w:val="0084651B"/>
    <w:rsid w:val="00847848"/>
    <w:rsid w:val="00854150"/>
    <w:rsid w:val="00856F48"/>
    <w:rsid w:val="00857206"/>
    <w:rsid w:val="00860535"/>
    <w:rsid w:val="008612CE"/>
    <w:rsid w:val="00862510"/>
    <w:rsid w:val="00862570"/>
    <w:rsid w:val="00863926"/>
    <w:rsid w:val="00863929"/>
    <w:rsid w:val="008656F0"/>
    <w:rsid w:val="00867DC9"/>
    <w:rsid w:val="008703EA"/>
    <w:rsid w:val="00870655"/>
    <w:rsid w:val="0087329A"/>
    <w:rsid w:val="00873FCE"/>
    <w:rsid w:val="00874546"/>
    <w:rsid w:val="008753DC"/>
    <w:rsid w:val="008804FC"/>
    <w:rsid w:val="00881028"/>
    <w:rsid w:val="008819FF"/>
    <w:rsid w:val="00882152"/>
    <w:rsid w:val="00883368"/>
    <w:rsid w:val="00883DE6"/>
    <w:rsid w:val="008843DD"/>
    <w:rsid w:val="00884729"/>
    <w:rsid w:val="00885138"/>
    <w:rsid w:val="00885D0E"/>
    <w:rsid w:val="00887232"/>
    <w:rsid w:val="0088766D"/>
    <w:rsid w:val="008901DC"/>
    <w:rsid w:val="00892BB7"/>
    <w:rsid w:val="008942FB"/>
    <w:rsid w:val="00895938"/>
    <w:rsid w:val="0089656D"/>
    <w:rsid w:val="00896977"/>
    <w:rsid w:val="00897885"/>
    <w:rsid w:val="008A09AC"/>
    <w:rsid w:val="008A24B8"/>
    <w:rsid w:val="008A27C6"/>
    <w:rsid w:val="008A39EE"/>
    <w:rsid w:val="008A46A4"/>
    <w:rsid w:val="008B2295"/>
    <w:rsid w:val="008B2E00"/>
    <w:rsid w:val="008B6AC0"/>
    <w:rsid w:val="008B6D2A"/>
    <w:rsid w:val="008B7D0B"/>
    <w:rsid w:val="008C1EBF"/>
    <w:rsid w:val="008C2356"/>
    <w:rsid w:val="008C3FC7"/>
    <w:rsid w:val="008D0C8D"/>
    <w:rsid w:val="008D1A28"/>
    <w:rsid w:val="008D216D"/>
    <w:rsid w:val="008D76A2"/>
    <w:rsid w:val="008E54BA"/>
    <w:rsid w:val="008E57B6"/>
    <w:rsid w:val="008E6361"/>
    <w:rsid w:val="008E63E7"/>
    <w:rsid w:val="008E661A"/>
    <w:rsid w:val="008E78F4"/>
    <w:rsid w:val="008E7ABD"/>
    <w:rsid w:val="008E7BB0"/>
    <w:rsid w:val="008F11EE"/>
    <w:rsid w:val="008F22AD"/>
    <w:rsid w:val="008F2503"/>
    <w:rsid w:val="008F2533"/>
    <w:rsid w:val="0090025C"/>
    <w:rsid w:val="00900F67"/>
    <w:rsid w:val="00903719"/>
    <w:rsid w:val="00904114"/>
    <w:rsid w:val="00904A3F"/>
    <w:rsid w:val="009079CB"/>
    <w:rsid w:val="0091075A"/>
    <w:rsid w:val="00911329"/>
    <w:rsid w:val="00912422"/>
    <w:rsid w:val="009144DA"/>
    <w:rsid w:val="0091495C"/>
    <w:rsid w:val="00916647"/>
    <w:rsid w:val="0091762C"/>
    <w:rsid w:val="00923D44"/>
    <w:rsid w:val="009273A6"/>
    <w:rsid w:val="00932E70"/>
    <w:rsid w:val="0093328A"/>
    <w:rsid w:val="00936812"/>
    <w:rsid w:val="0094017E"/>
    <w:rsid w:val="009413E9"/>
    <w:rsid w:val="00944EF4"/>
    <w:rsid w:val="00945684"/>
    <w:rsid w:val="0094705C"/>
    <w:rsid w:val="0095183E"/>
    <w:rsid w:val="00960C59"/>
    <w:rsid w:val="00960D55"/>
    <w:rsid w:val="009618B3"/>
    <w:rsid w:val="00961AF5"/>
    <w:rsid w:val="009627C3"/>
    <w:rsid w:val="00962ED8"/>
    <w:rsid w:val="00964B10"/>
    <w:rsid w:val="009704F9"/>
    <w:rsid w:val="00971067"/>
    <w:rsid w:val="009717F9"/>
    <w:rsid w:val="009768D0"/>
    <w:rsid w:val="00980911"/>
    <w:rsid w:val="00984263"/>
    <w:rsid w:val="00984BFD"/>
    <w:rsid w:val="009869A1"/>
    <w:rsid w:val="0099133D"/>
    <w:rsid w:val="0099223D"/>
    <w:rsid w:val="009944D6"/>
    <w:rsid w:val="00996E51"/>
    <w:rsid w:val="009A062B"/>
    <w:rsid w:val="009A0FEE"/>
    <w:rsid w:val="009A4975"/>
    <w:rsid w:val="009A53CB"/>
    <w:rsid w:val="009A57FF"/>
    <w:rsid w:val="009A6C66"/>
    <w:rsid w:val="009B034B"/>
    <w:rsid w:val="009B0CD8"/>
    <w:rsid w:val="009B1726"/>
    <w:rsid w:val="009B20B8"/>
    <w:rsid w:val="009B4188"/>
    <w:rsid w:val="009B78B7"/>
    <w:rsid w:val="009C00AE"/>
    <w:rsid w:val="009C07C0"/>
    <w:rsid w:val="009C36D1"/>
    <w:rsid w:val="009C430A"/>
    <w:rsid w:val="009C4A95"/>
    <w:rsid w:val="009C4EF3"/>
    <w:rsid w:val="009C7234"/>
    <w:rsid w:val="009D489D"/>
    <w:rsid w:val="009D4C53"/>
    <w:rsid w:val="009D6D96"/>
    <w:rsid w:val="009D6DA7"/>
    <w:rsid w:val="009D782E"/>
    <w:rsid w:val="009E0D60"/>
    <w:rsid w:val="009E21C2"/>
    <w:rsid w:val="009E6E2E"/>
    <w:rsid w:val="009E757D"/>
    <w:rsid w:val="009E76A2"/>
    <w:rsid w:val="009E77B6"/>
    <w:rsid w:val="009F25D7"/>
    <w:rsid w:val="009F2A1C"/>
    <w:rsid w:val="009F4A90"/>
    <w:rsid w:val="009F4AFA"/>
    <w:rsid w:val="009F75A0"/>
    <w:rsid w:val="00A0078D"/>
    <w:rsid w:val="00A01AEB"/>
    <w:rsid w:val="00A0300D"/>
    <w:rsid w:val="00A030C1"/>
    <w:rsid w:val="00A03DB3"/>
    <w:rsid w:val="00A03FF3"/>
    <w:rsid w:val="00A05A37"/>
    <w:rsid w:val="00A05C8C"/>
    <w:rsid w:val="00A1007A"/>
    <w:rsid w:val="00A10748"/>
    <w:rsid w:val="00A15FA0"/>
    <w:rsid w:val="00A2104D"/>
    <w:rsid w:val="00A25438"/>
    <w:rsid w:val="00A2786E"/>
    <w:rsid w:val="00A2789A"/>
    <w:rsid w:val="00A31AC1"/>
    <w:rsid w:val="00A32970"/>
    <w:rsid w:val="00A33395"/>
    <w:rsid w:val="00A33630"/>
    <w:rsid w:val="00A3653C"/>
    <w:rsid w:val="00A37E09"/>
    <w:rsid w:val="00A434EF"/>
    <w:rsid w:val="00A437B9"/>
    <w:rsid w:val="00A43CAC"/>
    <w:rsid w:val="00A4556B"/>
    <w:rsid w:val="00A45834"/>
    <w:rsid w:val="00A50EB2"/>
    <w:rsid w:val="00A53BDA"/>
    <w:rsid w:val="00A53C93"/>
    <w:rsid w:val="00A55F0D"/>
    <w:rsid w:val="00A56A25"/>
    <w:rsid w:val="00A6085E"/>
    <w:rsid w:val="00A62095"/>
    <w:rsid w:val="00A62F91"/>
    <w:rsid w:val="00A65807"/>
    <w:rsid w:val="00A65AD1"/>
    <w:rsid w:val="00A663BA"/>
    <w:rsid w:val="00A66781"/>
    <w:rsid w:val="00A66BB3"/>
    <w:rsid w:val="00A7074C"/>
    <w:rsid w:val="00A73174"/>
    <w:rsid w:val="00A7622E"/>
    <w:rsid w:val="00A76FAB"/>
    <w:rsid w:val="00A77E19"/>
    <w:rsid w:val="00A77E49"/>
    <w:rsid w:val="00A868E6"/>
    <w:rsid w:val="00A90C52"/>
    <w:rsid w:val="00A916C6"/>
    <w:rsid w:val="00A92545"/>
    <w:rsid w:val="00A92FBF"/>
    <w:rsid w:val="00A93B1D"/>
    <w:rsid w:val="00A93B93"/>
    <w:rsid w:val="00A93C5E"/>
    <w:rsid w:val="00A943C1"/>
    <w:rsid w:val="00A95F90"/>
    <w:rsid w:val="00A96BCC"/>
    <w:rsid w:val="00A97427"/>
    <w:rsid w:val="00AA1DDE"/>
    <w:rsid w:val="00AA36DC"/>
    <w:rsid w:val="00AA5567"/>
    <w:rsid w:val="00AA68D9"/>
    <w:rsid w:val="00AB1E6E"/>
    <w:rsid w:val="00AB413A"/>
    <w:rsid w:val="00AB4383"/>
    <w:rsid w:val="00AB47E9"/>
    <w:rsid w:val="00AC2A02"/>
    <w:rsid w:val="00AD1A1D"/>
    <w:rsid w:val="00AD26DB"/>
    <w:rsid w:val="00AD482D"/>
    <w:rsid w:val="00AD4E36"/>
    <w:rsid w:val="00AD501D"/>
    <w:rsid w:val="00AD6101"/>
    <w:rsid w:val="00AE64AA"/>
    <w:rsid w:val="00AE6590"/>
    <w:rsid w:val="00AE6D38"/>
    <w:rsid w:val="00AF6AEB"/>
    <w:rsid w:val="00AF6C00"/>
    <w:rsid w:val="00B01071"/>
    <w:rsid w:val="00B02BB6"/>
    <w:rsid w:val="00B02D5F"/>
    <w:rsid w:val="00B03215"/>
    <w:rsid w:val="00B0348B"/>
    <w:rsid w:val="00B0497B"/>
    <w:rsid w:val="00B066D4"/>
    <w:rsid w:val="00B076FE"/>
    <w:rsid w:val="00B12A6C"/>
    <w:rsid w:val="00B13907"/>
    <w:rsid w:val="00B154DD"/>
    <w:rsid w:val="00B16BB6"/>
    <w:rsid w:val="00B1713A"/>
    <w:rsid w:val="00B204EC"/>
    <w:rsid w:val="00B245B2"/>
    <w:rsid w:val="00B250FA"/>
    <w:rsid w:val="00B25265"/>
    <w:rsid w:val="00B2601E"/>
    <w:rsid w:val="00B311EB"/>
    <w:rsid w:val="00B3509B"/>
    <w:rsid w:val="00B3611B"/>
    <w:rsid w:val="00B40C5C"/>
    <w:rsid w:val="00B4212B"/>
    <w:rsid w:val="00B42DE8"/>
    <w:rsid w:val="00B4414D"/>
    <w:rsid w:val="00B470A6"/>
    <w:rsid w:val="00B51144"/>
    <w:rsid w:val="00B51E16"/>
    <w:rsid w:val="00B52A34"/>
    <w:rsid w:val="00B576C5"/>
    <w:rsid w:val="00B60091"/>
    <w:rsid w:val="00B60106"/>
    <w:rsid w:val="00B639D9"/>
    <w:rsid w:val="00B6593F"/>
    <w:rsid w:val="00B66265"/>
    <w:rsid w:val="00B6682B"/>
    <w:rsid w:val="00B66DF0"/>
    <w:rsid w:val="00B674CA"/>
    <w:rsid w:val="00B6755C"/>
    <w:rsid w:val="00B74C27"/>
    <w:rsid w:val="00B74CC5"/>
    <w:rsid w:val="00B7504B"/>
    <w:rsid w:val="00B76CDE"/>
    <w:rsid w:val="00B77A99"/>
    <w:rsid w:val="00B803EB"/>
    <w:rsid w:val="00B81A5A"/>
    <w:rsid w:val="00B8282F"/>
    <w:rsid w:val="00B83C5D"/>
    <w:rsid w:val="00B85EB5"/>
    <w:rsid w:val="00B8759A"/>
    <w:rsid w:val="00B87DB5"/>
    <w:rsid w:val="00B90F71"/>
    <w:rsid w:val="00B92066"/>
    <w:rsid w:val="00B92279"/>
    <w:rsid w:val="00B96215"/>
    <w:rsid w:val="00B963C2"/>
    <w:rsid w:val="00BA1549"/>
    <w:rsid w:val="00BA2628"/>
    <w:rsid w:val="00BA2DB2"/>
    <w:rsid w:val="00BA43CD"/>
    <w:rsid w:val="00BA5FB5"/>
    <w:rsid w:val="00BB15CC"/>
    <w:rsid w:val="00BB1B35"/>
    <w:rsid w:val="00BB3F58"/>
    <w:rsid w:val="00BB4068"/>
    <w:rsid w:val="00BC15D0"/>
    <w:rsid w:val="00BC1709"/>
    <w:rsid w:val="00BC3506"/>
    <w:rsid w:val="00BC53FD"/>
    <w:rsid w:val="00BC6D61"/>
    <w:rsid w:val="00BC6ED9"/>
    <w:rsid w:val="00BD1F3C"/>
    <w:rsid w:val="00BD21FB"/>
    <w:rsid w:val="00BD3A28"/>
    <w:rsid w:val="00BD5A70"/>
    <w:rsid w:val="00BE29EE"/>
    <w:rsid w:val="00BF0A63"/>
    <w:rsid w:val="00BF209B"/>
    <w:rsid w:val="00C0000F"/>
    <w:rsid w:val="00C01D4D"/>
    <w:rsid w:val="00C02B2B"/>
    <w:rsid w:val="00C0323E"/>
    <w:rsid w:val="00C045D4"/>
    <w:rsid w:val="00C04E14"/>
    <w:rsid w:val="00C05587"/>
    <w:rsid w:val="00C06788"/>
    <w:rsid w:val="00C074EF"/>
    <w:rsid w:val="00C119EE"/>
    <w:rsid w:val="00C119FE"/>
    <w:rsid w:val="00C128D9"/>
    <w:rsid w:val="00C1343A"/>
    <w:rsid w:val="00C1395D"/>
    <w:rsid w:val="00C14CB6"/>
    <w:rsid w:val="00C157C6"/>
    <w:rsid w:val="00C15F5C"/>
    <w:rsid w:val="00C16F2F"/>
    <w:rsid w:val="00C216E2"/>
    <w:rsid w:val="00C26645"/>
    <w:rsid w:val="00C32152"/>
    <w:rsid w:val="00C343B6"/>
    <w:rsid w:val="00C364EE"/>
    <w:rsid w:val="00C374E6"/>
    <w:rsid w:val="00C40C7E"/>
    <w:rsid w:val="00C41D0A"/>
    <w:rsid w:val="00C444B7"/>
    <w:rsid w:val="00C45790"/>
    <w:rsid w:val="00C4648C"/>
    <w:rsid w:val="00C5043C"/>
    <w:rsid w:val="00C5236F"/>
    <w:rsid w:val="00C536FB"/>
    <w:rsid w:val="00C54802"/>
    <w:rsid w:val="00C5569A"/>
    <w:rsid w:val="00C60EF3"/>
    <w:rsid w:val="00C64FBE"/>
    <w:rsid w:val="00C654AE"/>
    <w:rsid w:val="00C707B4"/>
    <w:rsid w:val="00C70BE3"/>
    <w:rsid w:val="00C71EAC"/>
    <w:rsid w:val="00C7591E"/>
    <w:rsid w:val="00C842C4"/>
    <w:rsid w:val="00C91ECE"/>
    <w:rsid w:val="00C94E44"/>
    <w:rsid w:val="00C94EC5"/>
    <w:rsid w:val="00C955BF"/>
    <w:rsid w:val="00C96687"/>
    <w:rsid w:val="00C96D91"/>
    <w:rsid w:val="00CA13C5"/>
    <w:rsid w:val="00CA17FE"/>
    <w:rsid w:val="00CA4834"/>
    <w:rsid w:val="00CA53EE"/>
    <w:rsid w:val="00CA5D88"/>
    <w:rsid w:val="00CB29B3"/>
    <w:rsid w:val="00CB4499"/>
    <w:rsid w:val="00CB59AF"/>
    <w:rsid w:val="00CB628A"/>
    <w:rsid w:val="00CB6FE4"/>
    <w:rsid w:val="00CC3385"/>
    <w:rsid w:val="00CC765D"/>
    <w:rsid w:val="00CD2281"/>
    <w:rsid w:val="00CD25A0"/>
    <w:rsid w:val="00CD327A"/>
    <w:rsid w:val="00CD4E9E"/>
    <w:rsid w:val="00CD5CB9"/>
    <w:rsid w:val="00CD6576"/>
    <w:rsid w:val="00CE0080"/>
    <w:rsid w:val="00CE1E7D"/>
    <w:rsid w:val="00CE391A"/>
    <w:rsid w:val="00CE398A"/>
    <w:rsid w:val="00CE4448"/>
    <w:rsid w:val="00CE6E6A"/>
    <w:rsid w:val="00CF1C3B"/>
    <w:rsid w:val="00CF1D48"/>
    <w:rsid w:val="00CF2DDF"/>
    <w:rsid w:val="00CF2F49"/>
    <w:rsid w:val="00CF4029"/>
    <w:rsid w:val="00CF61BB"/>
    <w:rsid w:val="00CF6717"/>
    <w:rsid w:val="00CF7D70"/>
    <w:rsid w:val="00D002BC"/>
    <w:rsid w:val="00D00D62"/>
    <w:rsid w:val="00D00DE8"/>
    <w:rsid w:val="00D018D2"/>
    <w:rsid w:val="00D02213"/>
    <w:rsid w:val="00D025A4"/>
    <w:rsid w:val="00D027ED"/>
    <w:rsid w:val="00D02BB6"/>
    <w:rsid w:val="00D0600E"/>
    <w:rsid w:val="00D07F53"/>
    <w:rsid w:val="00D100E5"/>
    <w:rsid w:val="00D109BC"/>
    <w:rsid w:val="00D117FC"/>
    <w:rsid w:val="00D135EA"/>
    <w:rsid w:val="00D1562D"/>
    <w:rsid w:val="00D1645F"/>
    <w:rsid w:val="00D16902"/>
    <w:rsid w:val="00D16D98"/>
    <w:rsid w:val="00D204B6"/>
    <w:rsid w:val="00D22837"/>
    <w:rsid w:val="00D231CF"/>
    <w:rsid w:val="00D233C1"/>
    <w:rsid w:val="00D24D74"/>
    <w:rsid w:val="00D26CD2"/>
    <w:rsid w:val="00D27C5C"/>
    <w:rsid w:val="00D302E9"/>
    <w:rsid w:val="00D30700"/>
    <w:rsid w:val="00D31AB0"/>
    <w:rsid w:val="00D321D8"/>
    <w:rsid w:val="00D329F8"/>
    <w:rsid w:val="00D3300B"/>
    <w:rsid w:val="00D3390C"/>
    <w:rsid w:val="00D35917"/>
    <w:rsid w:val="00D40116"/>
    <w:rsid w:val="00D42624"/>
    <w:rsid w:val="00D43D95"/>
    <w:rsid w:val="00D43DBA"/>
    <w:rsid w:val="00D4449A"/>
    <w:rsid w:val="00D44608"/>
    <w:rsid w:val="00D500E2"/>
    <w:rsid w:val="00D511CE"/>
    <w:rsid w:val="00D525D4"/>
    <w:rsid w:val="00D545A6"/>
    <w:rsid w:val="00D55996"/>
    <w:rsid w:val="00D5620E"/>
    <w:rsid w:val="00D60DC1"/>
    <w:rsid w:val="00D63315"/>
    <w:rsid w:val="00D65C9C"/>
    <w:rsid w:val="00D66A46"/>
    <w:rsid w:val="00D67280"/>
    <w:rsid w:val="00D714DE"/>
    <w:rsid w:val="00D72BBB"/>
    <w:rsid w:val="00D73B95"/>
    <w:rsid w:val="00D7531D"/>
    <w:rsid w:val="00D7588D"/>
    <w:rsid w:val="00D75AEB"/>
    <w:rsid w:val="00D773F6"/>
    <w:rsid w:val="00D82A64"/>
    <w:rsid w:val="00D833E7"/>
    <w:rsid w:val="00D87DE2"/>
    <w:rsid w:val="00D90AFE"/>
    <w:rsid w:val="00D91A5A"/>
    <w:rsid w:val="00D93A19"/>
    <w:rsid w:val="00D94CC3"/>
    <w:rsid w:val="00D9570D"/>
    <w:rsid w:val="00D961B5"/>
    <w:rsid w:val="00D96556"/>
    <w:rsid w:val="00D97704"/>
    <w:rsid w:val="00DA0E03"/>
    <w:rsid w:val="00DA3757"/>
    <w:rsid w:val="00DA5584"/>
    <w:rsid w:val="00DA5947"/>
    <w:rsid w:val="00DB783E"/>
    <w:rsid w:val="00DC08F1"/>
    <w:rsid w:val="00DC281D"/>
    <w:rsid w:val="00DC4B07"/>
    <w:rsid w:val="00DC4F54"/>
    <w:rsid w:val="00DC5CC3"/>
    <w:rsid w:val="00DD0655"/>
    <w:rsid w:val="00DD1548"/>
    <w:rsid w:val="00DE14F2"/>
    <w:rsid w:val="00DE34F6"/>
    <w:rsid w:val="00DE5119"/>
    <w:rsid w:val="00DE6A2B"/>
    <w:rsid w:val="00DE6CA6"/>
    <w:rsid w:val="00DF1D8C"/>
    <w:rsid w:val="00DF24B4"/>
    <w:rsid w:val="00DF26E8"/>
    <w:rsid w:val="00DF4017"/>
    <w:rsid w:val="00DF5737"/>
    <w:rsid w:val="00DF7E38"/>
    <w:rsid w:val="00E001B6"/>
    <w:rsid w:val="00E00813"/>
    <w:rsid w:val="00E0135B"/>
    <w:rsid w:val="00E02C52"/>
    <w:rsid w:val="00E0463A"/>
    <w:rsid w:val="00E04EDD"/>
    <w:rsid w:val="00E060F5"/>
    <w:rsid w:val="00E11E3E"/>
    <w:rsid w:val="00E12D9D"/>
    <w:rsid w:val="00E13831"/>
    <w:rsid w:val="00E148AF"/>
    <w:rsid w:val="00E16695"/>
    <w:rsid w:val="00E200B0"/>
    <w:rsid w:val="00E20A13"/>
    <w:rsid w:val="00E23E8A"/>
    <w:rsid w:val="00E24592"/>
    <w:rsid w:val="00E307AB"/>
    <w:rsid w:val="00E3415D"/>
    <w:rsid w:val="00E35DC2"/>
    <w:rsid w:val="00E43B90"/>
    <w:rsid w:val="00E45B60"/>
    <w:rsid w:val="00E463F8"/>
    <w:rsid w:val="00E50FAD"/>
    <w:rsid w:val="00E51332"/>
    <w:rsid w:val="00E53A04"/>
    <w:rsid w:val="00E6169A"/>
    <w:rsid w:val="00E618CE"/>
    <w:rsid w:val="00E61A63"/>
    <w:rsid w:val="00E634C7"/>
    <w:rsid w:val="00E6549F"/>
    <w:rsid w:val="00E654E2"/>
    <w:rsid w:val="00E7549F"/>
    <w:rsid w:val="00E8290B"/>
    <w:rsid w:val="00E8292E"/>
    <w:rsid w:val="00E91069"/>
    <w:rsid w:val="00E92DAF"/>
    <w:rsid w:val="00EA0703"/>
    <w:rsid w:val="00EA1897"/>
    <w:rsid w:val="00EA19CE"/>
    <w:rsid w:val="00EA2A85"/>
    <w:rsid w:val="00EA3538"/>
    <w:rsid w:val="00EA4B72"/>
    <w:rsid w:val="00EA4BC9"/>
    <w:rsid w:val="00EA608D"/>
    <w:rsid w:val="00EA6788"/>
    <w:rsid w:val="00EB0985"/>
    <w:rsid w:val="00EB1F18"/>
    <w:rsid w:val="00EB3806"/>
    <w:rsid w:val="00EB6A1B"/>
    <w:rsid w:val="00EB73CC"/>
    <w:rsid w:val="00EB79B1"/>
    <w:rsid w:val="00EC0E54"/>
    <w:rsid w:val="00EC446D"/>
    <w:rsid w:val="00EC60F8"/>
    <w:rsid w:val="00EC7EF2"/>
    <w:rsid w:val="00ED312C"/>
    <w:rsid w:val="00ED3A35"/>
    <w:rsid w:val="00ED5D30"/>
    <w:rsid w:val="00ED665D"/>
    <w:rsid w:val="00EE2F47"/>
    <w:rsid w:val="00EE46DB"/>
    <w:rsid w:val="00EF0953"/>
    <w:rsid w:val="00EF33BE"/>
    <w:rsid w:val="00EF4053"/>
    <w:rsid w:val="00EF4576"/>
    <w:rsid w:val="00EF4830"/>
    <w:rsid w:val="00EF4DA6"/>
    <w:rsid w:val="00EF71D4"/>
    <w:rsid w:val="00F007AC"/>
    <w:rsid w:val="00F0096E"/>
    <w:rsid w:val="00F0200E"/>
    <w:rsid w:val="00F03140"/>
    <w:rsid w:val="00F03B60"/>
    <w:rsid w:val="00F05A35"/>
    <w:rsid w:val="00F07193"/>
    <w:rsid w:val="00F07E0F"/>
    <w:rsid w:val="00F11D60"/>
    <w:rsid w:val="00F1217C"/>
    <w:rsid w:val="00F12340"/>
    <w:rsid w:val="00F12C88"/>
    <w:rsid w:val="00F1484E"/>
    <w:rsid w:val="00F15AAF"/>
    <w:rsid w:val="00F30E10"/>
    <w:rsid w:val="00F335E5"/>
    <w:rsid w:val="00F343AF"/>
    <w:rsid w:val="00F34606"/>
    <w:rsid w:val="00F3743B"/>
    <w:rsid w:val="00F403F1"/>
    <w:rsid w:val="00F4059D"/>
    <w:rsid w:val="00F423CC"/>
    <w:rsid w:val="00F42857"/>
    <w:rsid w:val="00F438F1"/>
    <w:rsid w:val="00F52AA0"/>
    <w:rsid w:val="00F55693"/>
    <w:rsid w:val="00F57EF0"/>
    <w:rsid w:val="00F61D2A"/>
    <w:rsid w:val="00F6771D"/>
    <w:rsid w:val="00F7172F"/>
    <w:rsid w:val="00F72079"/>
    <w:rsid w:val="00F726C4"/>
    <w:rsid w:val="00F75116"/>
    <w:rsid w:val="00F772DF"/>
    <w:rsid w:val="00F8224B"/>
    <w:rsid w:val="00F82F12"/>
    <w:rsid w:val="00F83552"/>
    <w:rsid w:val="00F83C9F"/>
    <w:rsid w:val="00F85B2E"/>
    <w:rsid w:val="00F86DBF"/>
    <w:rsid w:val="00F94600"/>
    <w:rsid w:val="00F956DA"/>
    <w:rsid w:val="00F9606F"/>
    <w:rsid w:val="00F96B63"/>
    <w:rsid w:val="00F97324"/>
    <w:rsid w:val="00FA1266"/>
    <w:rsid w:val="00FA26DC"/>
    <w:rsid w:val="00FA2C38"/>
    <w:rsid w:val="00FA3132"/>
    <w:rsid w:val="00FA5365"/>
    <w:rsid w:val="00FA72D8"/>
    <w:rsid w:val="00FA7B26"/>
    <w:rsid w:val="00FB02D7"/>
    <w:rsid w:val="00FB2847"/>
    <w:rsid w:val="00FB2975"/>
    <w:rsid w:val="00FB39F5"/>
    <w:rsid w:val="00FB40BE"/>
    <w:rsid w:val="00FB465A"/>
    <w:rsid w:val="00FC0E0B"/>
    <w:rsid w:val="00FC1C10"/>
    <w:rsid w:val="00FC320E"/>
    <w:rsid w:val="00FC6ED5"/>
    <w:rsid w:val="00FC6F94"/>
    <w:rsid w:val="00FC703A"/>
    <w:rsid w:val="00FC7EF4"/>
    <w:rsid w:val="00FD018D"/>
    <w:rsid w:val="00FD38E2"/>
    <w:rsid w:val="00FE0474"/>
    <w:rsid w:val="00FE09ED"/>
    <w:rsid w:val="00FE1926"/>
    <w:rsid w:val="00FE4701"/>
    <w:rsid w:val="00FE4851"/>
    <w:rsid w:val="00FE4E3C"/>
    <w:rsid w:val="00FE742E"/>
    <w:rsid w:val="00FF08EB"/>
    <w:rsid w:val="00FF407B"/>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0DD8F37A-A38C-4A52-944C-209E9AE1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625"/>
    <w:pPr>
      <w:spacing w:after="0" w:line="240" w:lineRule="auto"/>
    </w:pPr>
  </w:style>
  <w:style w:type="paragraph" w:styleId="Heading1">
    <w:name w:val="heading 1"/>
    <w:basedOn w:val="Normal"/>
    <w:next w:val="Normal"/>
    <w:link w:val="Heading1Char"/>
    <w:qFormat/>
    <w:rsid w:val="009F10AB"/>
    <w:pPr>
      <w:keepNext/>
      <w:keepLines/>
      <w:numPr>
        <w:numId w:val="44"/>
      </w:numPr>
      <w:tabs>
        <w:tab w:val="left" w:pos="851"/>
      </w:tabs>
      <w:spacing w:before="240" w:after="120" w:line="400" w:lineRule="atLeast"/>
      <w:jc w:val="both"/>
      <w:outlineLvl w:val="0"/>
    </w:pPr>
    <w:rPr>
      <w:rFonts w:asciiTheme="majorHAnsi" w:eastAsia="Times New Roman" w:hAnsiTheme="majorHAnsi" w:cs="Arial"/>
      <w:b/>
      <w:bCs/>
      <w:sz w:val="32"/>
      <w:szCs w:val="32"/>
      <w:lang w:eastAsia="en-GB"/>
    </w:rPr>
  </w:style>
  <w:style w:type="paragraph" w:styleId="Heading2">
    <w:name w:val="heading 2"/>
    <w:basedOn w:val="Normal"/>
    <w:next w:val="Normal"/>
    <w:link w:val="Heading2Char"/>
    <w:qFormat/>
    <w:rsid w:val="009F10AB"/>
    <w:pPr>
      <w:keepNext/>
      <w:keepLines/>
      <w:numPr>
        <w:ilvl w:val="1"/>
        <w:numId w:val="44"/>
      </w:numPr>
      <w:tabs>
        <w:tab w:val="left" w:pos="851"/>
      </w:tabs>
      <w:spacing w:before="240" w:after="120"/>
      <w:jc w:val="both"/>
      <w:outlineLvl w:val="1"/>
    </w:pPr>
    <w:rPr>
      <w:rFonts w:asciiTheme="majorHAnsi" w:eastAsia="Times New Roman" w:hAnsiTheme="majorHAnsi" w:cs="Arial"/>
      <w:b/>
      <w:bCs/>
      <w:iCs/>
      <w:sz w:val="24"/>
      <w:szCs w:val="28"/>
      <w:lang w:eastAsia="en-GB"/>
    </w:rPr>
  </w:style>
  <w:style w:type="paragraph" w:styleId="Heading3">
    <w:name w:val="heading 3"/>
    <w:basedOn w:val="Normal"/>
    <w:next w:val="Normal"/>
    <w:link w:val="Heading3Char"/>
    <w:qFormat/>
    <w:rsid w:val="009F10AB"/>
    <w:pPr>
      <w:keepNext/>
      <w:keepLines/>
      <w:numPr>
        <w:ilvl w:val="2"/>
        <w:numId w:val="44"/>
      </w:numPr>
      <w:tabs>
        <w:tab w:val="left" w:pos="851"/>
      </w:tabs>
      <w:spacing w:before="240" w:after="120"/>
      <w:jc w:val="both"/>
      <w:outlineLvl w:val="2"/>
    </w:pPr>
    <w:rPr>
      <w:rFonts w:asciiTheme="majorHAnsi" w:eastAsia="Times New Roman" w:hAnsiTheme="majorHAnsi" w:cs="Times New Roman"/>
      <w:b/>
      <w:szCs w:val="20"/>
      <w:lang w:eastAsia="en-GB"/>
    </w:rPr>
  </w:style>
  <w:style w:type="paragraph" w:styleId="Heading4">
    <w:name w:val="heading 4"/>
    <w:basedOn w:val="Normal"/>
    <w:next w:val="Normal"/>
    <w:link w:val="Heading4Char"/>
    <w:uiPriority w:val="9"/>
    <w:qFormat/>
    <w:rsid w:val="0048398E"/>
    <w:pPr>
      <w:keepNext/>
      <w:keepLines/>
      <w:numPr>
        <w:ilvl w:val="3"/>
        <w:numId w:val="25"/>
      </w:numPr>
      <w:spacing w:before="4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qFormat/>
    <w:rsid w:val="008F7AF6"/>
    <w:pPr>
      <w:keepNext/>
      <w:keepLines/>
      <w:numPr>
        <w:ilvl w:val="4"/>
        <w:numId w:val="25"/>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qFormat/>
    <w:rsid w:val="008F7AF6"/>
    <w:pPr>
      <w:keepNext/>
      <w:keepLines/>
      <w:numPr>
        <w:ilvl w:val="5"/>
        <w:numId w:val="25"/>
      </w:numPr>
      <w:outlineLvl w:val="5"/>
    </w:pPr>
    <w:rPr>
      <w:rFonts w:asciiTheme="majorHAnsi" w:eastAsiaTheme="majorEastAsia" w:hAnsiTheme="majorHAnsi" w:cstheme="majorBidi"/>
    </w:rPr>
  </w:style>
  <w:style w:type="paragraph" w:styleId="Heading7">
    <w:name w:val="heading 7"/>
    <w:basedOn w:val="Normal"/>
    <w:next w:val="Normal"/>
    <w:link w:val="Heading7Char"/>
    <w:uiPriority w:val="9"/>
    <w:qFormat/>
    <w:rsid w:val="008F7AF6"/>
    <w:pPr>
      <w:keepNext/>
      <w:keepLines/>
      <w:numPr>
        <w:ilvl w:val="6"/>
        <w:numId w:val="25"/>
      </w:numPr>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qFormat/>
    <w:rsid w:val="008F7AF6"/>
    <w:pPr>
      <w:keepNext/>
      <w:keepLines/>
      <w:numPr>
        <w:ilvl w:val="7"/>
        <w:numId w:val="25"/>
      </w:numPr>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qFormat/>
    <w:rsid w:val="008B1FE0"/>
    <w:pPr>
      <w:keepNext/>
      <w:keepLines/>
      <w:numPr>
        <w:ilvl w:val="8"/>
        <w:numId w:val="25"/>
      </w:numPr>
      <w:outlineLvl w:val="8"/>
    </w:pPr>
    <w:rPr>
      <w:rFonts w:asciiTheme="majorHAnsi" w:eastAsiaTheme="majorEastAsia" w:hAnsiTheme="majorHAnsi" w:cstheme="majorBid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0AB"/>
    <w:rPr>
      <w:rFonts w:asciiTheme="majorHAnsi" w:eastAsia="Times New Roman" w:hAnsiTheme="majorHAnsi" w:cs="Arial"/>
      <w:b/>
      <w:bCs/>
      <w:sz w:val="32"/>
      <w:szCs w:val="32"/>
      <w:lang w:val="en-GB" w:eastAsia="en-GB"/>
    </w:rPr>
  </w:style>
  <w:style w:type="paragraph" w:styleId="NoSpacing">
    <w:name w:val="No Spacing"/>
    <w:uiPriority w:val="1"/>
    <w:qFormat/>
    <w:rsid w:val="0064435B"/>
    <w:pPr>
      <w:spacing w:after="0" w:line="240" w:lineRule="auto"/>
    </w:pPr>
  </w:style>
  <w:style w:type="character" w:customStyle="1" w:styleId="Heading2Char">
    <w:name w:val="Heading 2 Char"/>
    <w:basedOn w:val="DefaultParagraphFont"/>
    <w:link w:val="Heading2"/>
    <w:rsid w:val="009F10AB"/>
    <w:rPr>
      <w:rFonts w:asciiTheme="majorHAnsi" w:eastAsia="Times New Roman" w:hAnsiTheme="majorHAnsi" w:cs="Arial"/>
      <w:b/>
      <w:bCs/>
      <w:iCs/>
      <w:sz w:val="24"/>
      <w:szCs w:val="28"/>
      <w:lang w:val="en-GB" w:eastAsia="en-GB"/>
    </w:rPr>
  </w:style>
  <w:style w:type="character" w:customStyle="1" w:styleId="Heading3Char">
    <w:name w:val="Heading 3 Char"/>
    <w:basedOn w:val="DefaultParagraphFont"/>
    <w:link w:val="Heading3"/>
    <w:rsid w:val="009F10AB"/>
    <w:rPr>
      <w:rFonts w:asciiTheme="majorHAnsi" w:eastAsia="Times New Roman" w:hAnsiTheme="majorHAnsi" w:cs="Times New Roman"/>
      <w:b/>
      <w:szCs w:val="20"/>
      <w:lang w:val="en-GB" w:eastAsia="en-GB"/>
    </w:rPr>
  </w:style>
  <w:style w:type="character" w:customStyle="1" w:styleId="Heading4Char">
    <w:name w:val="Heading 4 Char"/>
    <w:basedOn w:val="DefaultParagraphFont"/>
    <w:link w:val="Heading4"/>
    <w:uiPriority w:val="9"/>
    <w:rsid w:val="0048398E"/>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8F7AF6"/>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rsid w:val="008F7AF6"/>
    <w:rPr>
      <w:rFonts w:asciiTheme="majorHAnsi" w:eastAsiaTheme="majorEastAsia" w:hAnsiTheme="majorHAnsi" w:cstheme="majorBidi"/>
      <w:lang w:val="en-GB"/>
    </w:rPr>
  </w:style>
  <w:style w:type="character" w:customStyle="1" w:styleId="Heading7Char">
    <w:name w:val="Heading 7 Char"/>
    <w:basedOn w:val="DefaultParagraphFont"/>
    <w:link w:val="Heading7"/>
    <w:uiPriority w:val="9"/>
    <w:rsid w:val="008F7AF6"/>
    <w:rPr>
      <w:rFonts w:asciiTheme="majorHAnsi" w:eastAsiaTheme="majorEastAsia" w:hAnsiTheme="majorHAnsi" w:cstheme="majorBidi"/>
      <w:iCs/>
      <w:lang w:val="en-GB"/>
    </w:rPr>
  </w:style>
  <w:style w:type="character" w:customStyle="1" w:styleId="Heading8Char">
    <w:name w:val="Heading 8 Char"/>
    <w:basedOn w:val="DefaultParagraphFont"/>
    <w:link w:val="Heading8"/>
    <w:uiPriority w:val="9"/>
    <w:rsid w:val="008F7AF6"/>
    <w:rPr>
      <w:rFonts w:asciiTheme="majorHAnsi" w:eastAsiaTheme="majorEastAsia" w:hAnsiTheme="majorHAnsi" w:cstheme="majorBidi"/>
      <w:szCs w:val="21"/>
      <w:lang w:val="en-GB"/>
    </w:rPr>
  </w:style>
  <w:style w:type="character" w:customStyle="1" w:styleId="Heading9Char">
    <w:name w:val="Heading 9 Char"/>
    <w:basedOn w:val="DefaultParagraphFont"/>
    <w:link w:val="Heading9"/>
    <w:uiPriority w:val="9"/>
    <w:rsid w:val="008B1FE0"/>
    <w:rPr>
      <w:rFonts w:asciiTheme="majorHAnsi" w:eastAsiaTheme="majorEastAsia" w:hAnsiTheme="majorHAnsi" w:cstheme="majorBidi"/>
      <w:iCs/>
      <w:szCs w:val="21"/>
      <w:lang w:val="en-GB"/>
    </w:rPr>
  </w:style>
  <w:style w:type="paragraph" w:styleId="TOC1">
    <w:name w:val="toc 1"/>
    <w:basedOn w:val="Normal"/>
    <w:next w:val="Normal"/>
    <w:autoRedefine/>
    <w:uiPriority w:val="39"/>
    <w:rsid w:val="009F10AB"/>
    <w:pPr>
      <w:tabs>
        <w:tab w:val="left" w:pos="851"/>
        <w:tab w:val="right" w:pos="7484"/>
      </w:tabs>
      <w:spacing w:before="240" w:after="120"/>
      <w:ind w:left="851" w:hanging="851"/>
      <w:jc w:val="both"/>
    </w:pPr>
    <w:rPr>
      <w:rFonts w:eastAsiaTheme="minorEastAsia"/>
      <w:b/>
      <w:noProof/>
      <w:lang w:eastAsia="en-GB"/>
    </w:rPr>
  </w:style>
  <w:style w:type="paragraph" w:styleId="TOC2">
    <w:name w:val="toc 2"/>
    <w:basedOn w:val="Normal"/>
    <w:next w:val="Normal"/>
    <w:autoRedefine/>
    <w:uiPriority w:val="39"/>
    <w:rsid w:val="009F10AB"/>
    <w:pPr>
      <w:tabs>
        <w:tab w:val="left" w:pos="851"/>
        <w:tab w:val="right" w:pos="7484"/>
      </w:tabs>
      <w:ind w:left="851" w:hanging="851"/>
      <w:jc w:val="both"/>
    </w:pPr>
    <w:rPr>
      <w:rFonts w:eastAsia="Times New Roman" w:cs="Times New Roman"/>
      <w:szCs w:val="20"/>
      <w:lang w:eastAsia="en-GB"/>
    </w:rPr>
  </w:style>
  <w:style w:type="paragraph" w:styleId="TOC3">
    <w:name w:val="toc 3"/>
    <w:basedOn w:val="Normal"/>
    <w:next w:val="Normal"/>
    <w:autoRedefine/>
    <w:uiPriority w:val="39"/>
    <w:rsid w:val="009F10AB"/>
    <w:pPr>
      <w:tabs>
        <w:tab w:val="left" w:pos="851"/>
        <w:tab w:val="right" w:pos="7484"/>
      </w:tabs>
      <w:ind w:left="851" w:hanging="851"/>
      <w:jc w:val="both"/>
    </w:pPr>
    <w:rPr>
      <w:rFonts w:eastAsia="Times New Roman" w:cs="Times New Roman"/>
      <w:sz w:val="18"/>
      <w:szCs w:val="20"/>
      <w:lang w:eastAsia="en-GB"/>
    </w:rPr>
  </w:style>
  <w:style w:type="paragraph" w:styleId="ListBullet">
    <w:name w:val="List Bullet"/>
    <w:basedOn w:val="Normal"/>
    <w:uiPriority w:val="99"/>
    <w:unhideWhenUsed/>
    <w:rsid w:val="009F10AB"/>
    <w:pPr>
      <w:numPr>
        <w:numId w:val="45"/>
      </w:numPr>
      <w:contextualSpacing/>
      <w:jc w:val="both"/>
    </w:pPr>
    <w:rPr>
      <w:rFonts w:eastAsia="Times New Roman" w:cs="Times New Roman"/>
      <w:szCs w:val="24"/>
      <w:lang w:eastAsia="en-GB"/>
    </w:rPr>
  </w:style>
  <w:style w:type="paragraph" w:styleId="Title">
    <w:name w:val="Title"/>
    <w:basedOn w:val="Normal"/>
    <w:next w:val="Normal"/>
    <w:link w:val="TitleChar"/>
    <w:uiPriority w:val="10"/>
    <w:qFormat/>
    <w:rsid w:val="00545496"/>
    <w:pPr>
      <w:contextualSpacing/>
    </w:pPr>
    <w:rPr>
      <w:rFonts w:asciiTheme="majorHAnsi" w:eastAsiaTheme="majorEastAsia" w:hAnsiTheme="majorHAnsi" w:cstheme="majorBidi"/>
      <w:color w:val="000000" w:themeColor="text1"/>
      <w:sz w:val="44"/>
      <w:szCs w:val="56"/>
    </w:rPr>
  </w:style>
  <w:style w:type="character" w:customStyle="1" w:styleId="TitleChar">
    <w:name w:val="Title Char"/>
    <w:basedOn w:val="DefaultParagraphFont"/>
    <w:link w:val="Title"/>
    <w:uiPriority w:val="10"/>
    <w:rsid w:val="00545496"/>
    <w:rPr>
      <w:rFonts w:asciiTheme="majorHAnsi" w:eastAsiaTheme="majorEastAsia" w:hAnsiTheme="majorHAnsi" w:cstheme="majorBidi"/>
      <w:color w:val="000000" w:themeColor="text1"/>
      <w:sz w:val="44"/>
      <w:szCs w:val="56"/>
      <w:lang w:val="en-GB"/>
    </w:rPr>
  </w:style>
  <w:style w:type="paragraph" w:styleId="Subtitle">
    <w:name w:val="Subtitle"/>
    <w:basedOn w:val="Normal"/>
    <w:next w:val="Normal"/>
    <w:link w:val="SubtitleChar"/>
    <w:uiPriority w:val="11"/>
    <w:qFormat/>
    <w:rsid w:val="003C0E10"/>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rsid w:val="003C0E10"/>
    <w:rPr>
      <w:rFonts w:ascii="Times New Roman" w:eastAsiaTheme="minorEastAsia" w:hAnsi="Times New Roman"/>
      <w:color w:val="5A5A5A" w:themeColor="text1" w:themeTint="A5"/>
      <w:lang w:val="en-GB"/>
    </w:rPr>
  </w:style>
  <w:style w:type="character" w:styleId="Emphasis">
    <w:name w:val="Emphasis"/>
    <w:basedOn w:val="DefaultParagraphFont"/>
    <w:uiPriority w:val="20"/>
    <w:qFormat/>
    <w:rsid w:val="0064435B"/>
    <w:rPr>
      <w:i/>
      <w:iCs/>
      <w:lang w:val="en-GB"/>
    </w:rPr>
  </w:style>
  <w:style w:type="character" w:styleId="Strong">
    <w:name w:val="Strong"/>
    <w:basedOn w:val="DefaultParagraphFont"/>
    <w:uiPriority w:val="22"/>
    <w:qFormat/>
    <w:rsid w:val="0064435B"/>
    <w:rPr>
      <w:b/>
      <w:bCs/>
      <w:lang w:val="en-GB"/>
    </w:rPr>
  </w:style>
  <w:style w:type="paragraph" w:styleId="Quote">
    <w:name w:val="Quote"/>
    <w:basedOn w:val="Normal"/>
    <w:next w:val="Normal"/>
    <w:link w:val="QuoteChar"/>
    <w:uiPriority w:val="29"/>
    <w:qFormat/>
    <w:rsid w:val="006443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4435B"/>
    <w:rPr>
      <w:i/>
      <w:iCs/>
      <w:color w:val="404040" w:themeColor="text1" w:themeTint="BF"/>
      <w:lang w:val="en-GB"/>
    </w:rPr>
  </w:style>
  <w:style w:type="paragraph" w:styleId="Caption">
    <w:name w:val="caption"/>
    <w:basedOn w:val="Normal"/>
    <w:next w:val="Normal"/>
    <w:uiPriority w:val="35"/>
    <w:qFormat/>
    <w:rsid w:val="0064435B"/>
    <w:pPr>
      <w:spacing w:after="200"/>
    </w:pPr>
    <w:rPr>
      <w:i/>
      <w:iCs/>
      <w:color w:val="00257A" w:themeColor="text2"/>
      <w:sz w:val="18"/>
      <w:szCs w:val="18"/>
    </w:rPr>
  </w:style>
  <w:style w:type="character" w:styleId="PageNumber">
    <w:name w:val="page number"/>
    <w:basedOn w:val="DefaultParagraphFont"/>
    <w:uiPriority w:val="99"/>
    <w:rsid w:val="0064435B"/>
  </w:style>
  <w:style w:type="character" w:styleId="FootnoteReference">
    <w:name w:val="footnote reference"/>
    <w:basedOn w:val="DefaultParagraphFont"/>
    <w:uiPriority w:val="99"/>
    <w:rsid w:val="0064435B"/>
    <w:rPr>
      <w:vertAlign w:val="superscript"/>
      <w:lang w:val="en-GB"/>
    </w:rPr>
  </w:style>
  <w:style w:type="paragraph" w:styleId="FootnoteText">
    <w:name w:val="footnote text"/>
    <w:basedOn w:val="Normal"/>
    <w:link w:val="FootnoteTextChar"/>
    <w:uiPriority w:val="99"/>
    <w:rsid w:val="0064435B"/>
    <w:rPr>
      <w:sz w:val="20"/>
      <w:szCs w:val="20"/>
    </w:rPr>
  </w:style>
  <w:style w:type="character" w:customStyle="1" w:styleId="FootnoteTextChar">
    <w:name w:val="Footnote Text Char"/>
    <w:basedOn w:val="DefaultParagraphFont"/>
    <w:link w:val="FootnoteText"/>
    <w:uiPriority w:val="99"/>
    <w:rsid w:val="0064435B"/>
    <w:rPr>
      <w:sz w:val="20"/>
      <w:szCs w:val="20"/>
      <w:lang w:val="en-GB"/>
    </w:rPr>
  </w:style>
  <w:style w:type="paragraph" w:styleId="Footer">
    <w:name w:val="footer"/>
    <w:basedOn w:val="Normal"/>
    <w:link w:val="FooterChar"/>
    <w:uiPriority w:val="99"/>
    <w:rsid w:val="00993BF0"/>
    <w:pPr>
      <w:tabs>
        <w:tab w:val="center" w:pos="4680"/>
        <w:tab w:val="right" w:pos="9360"/>
      </w:tabs>
    </w:pPr>
    <w:rPr>
      <w:sz w:val="18"/>
    </w:rPr>
  </w:style>
  <w:style w:type="character" w:customStyle="1" w:styleId="FooterChar">
    <w:name w:val="Footer Char"/>
    <w:basedOn w:val="DefaultParagraphFont"/>
    <w:link w:val="Footer"/>
    <w:uiPriority w:val="99"/>
    <w:rsid w:val="00993BF0"/>
    <w:rPr>
      <w:sz w:val="18"/>
      <w:lang w:val="en-GB"/>
    </w:rPr>
  </w:style>
  <w:style w:type="paragraph" w:styleId="TOCHeading">
    <w:name w:val="TOC Heading"/>
    <w:basedOn w:val="Heading1"/>
    <w:next w:val="Normal"/>
    <w:uiPriority w:val="39"/>
    <w:qFormat/>
    <w:rsid w:val="003B1F3D"/>
    <w:pPr>
      <w:numPr>
        <w:numId w:val="0"/>
      </w:numPr>
      <w:spacing w:before="0" w:after="240"/>
      <w:outlineLvl w:val="9"/>
    </w:pPr>
  </w:style>
  <w:style w:type="character" w:styleId="Hyperlink">
    <w:name w:val="Hyperlink"/>
    <w:basedOn w:val="DefaultParagraphFont"/>
    <w:uiPriority w:val="99"/>
    <w:unhideWhenUsed/>
    <w:rsid w:val="00433CA2"/>
    <w:rPr>
      <w:color w:val="004881" w:themeColor="hyperlink"/>
      <w:u w:val="single"/>
      <w:lang w:val="en-GB"/>
    </w:rPr>
  </w:style>
  <w:style w:type="paragraph" w:styleId="ListNumber">
    <w:name w:val="List Number"/>
    <w:basedOn w:val="Normal"/>
    <w:qFormat/>
    <w:rsid w:val="009F10AB"/>
    <w:pPr>
      <w:numPr>
        <w:numId w:val="46"/>
      </w:numPr>
      <w:jc w:val="both"/>
    </w:pPr>
    <w:rPr>
      <w:rFonts w:eastAsia="Times New Roman" w:cs="Times New Roman"/>
      <w:szCs w:val="20"/>
      <w:lang w:eastAsia="en-GB"/>
    </w:rPr>
  </w:style>
  <w:style w:type="paragraph" w:customStyle="1" w:styleId="DSHeadingNoToc1">
    <w:name w:val="DS_Heading_NoToc_1"/>
    <w:basedOn w:val="Heading1"/>
    <w:qFormat/>
    <w:rsid w:val="005B2150"/>
    <w:pPr>
      <w:tabs>
        <w:tab w:val="clear" w:pos="432"/>
        <w:tab w:val="clear" w:pos="851"/>
      </w:tabs>
      <w:spacing w:before="0" w:after="140" w:line="288" w:lineRule="auto"/>
      <w:ind w:left="567" w:hanging="567"/>
    </w:pPr>
    <w:rPr>
      <w:rFonts w:asciiTheme="minorHAnsi" w:hAnsiTheme="minorHAnsi"/>
      <w:sz w:val="22"/>
    </w:rPr>
  </w:style>
  <w:style w:type="paragraph" w:customStyle="1" w:styleId="DSHeadingNoToc2">
    <w:name w:val="DS_Heading_NoToc_2"/>
    <w:basedOn w:val="Heading2"/>
    <w:qFormat/>
    <w:rsid w:val="003F4E8F"/>
    <w:pPr>
      <w:keepNext w:val="0"/>
      <w:keepLines w:val="0"/>
      <w:tabs>
        <w:tab w:val="clear" w:pos="576"/>
        <w:tab w:val="clear" w:pos="851"/>
      </w:tabs>
      <w:spacing w:before="0" w:after="140" w:line="288" w:lineRule="auto"/>
      <w:ind w:left="567" w:hanging="567"/>
    </w:pPr>
    <w:rPr>
      <w:rFonts w:asciiTheme="minorHAnsi" w:hAnsiTheme="minorHAnsi"/>
      <w:b w:val="0"/>
      <w:sz w:val="22"/>
    </w:rPr>
  </w:style>
  <w:style w:type="paragraph" w:customStyle="1" w:styleId="DSHeadingNoToc3">
    <w:name w:val="DS_Heading_NoToc_3"/>
    <w:basedOn w:val="Heading3"/>
    <w:qFormat/>
    <w:rsid w:val="00B51F06"/>
  </w:style>
  <w:style w:type="paragraph" w:customStyle="1" w:styleId="DSHeadingNoToc4">
    <w:name w:val="DS_Heading_NoToc_4"/>
    <w:basedOn w:val="Heading4"/>
    <w:qFormat/>
    <w:rsid w:val="00B51F06"/>
  </w:style>
  <w:style w:type="paragraph" w:customStyle="1" w:styleId="DSHeadingNoToc5">
    <w:name w:val="DS_Heading_NoToc_5"/>
    <w:basedOn w:val="Heading5"/>
    <w:qFormat/>
    <w:rsid w:val="00B51F06"/>
  </w:style>
  <w:style w:type="paragraph" w:customStyle="1" w:styleId="DSHeadingNoToc6">
    <w:name w:val="DS_Heading_NoToc_6"/>
    <w:basedOn w:val="Heading6"/>
    <w:qFormat/>
    <w:rsid w:val="00B51F06"/>
  </w:style>
  <w:style w:type="paragraph" w:customStyle="1" w:styleId="DSHeadingNoToc7">
    <w:name w:val="DS_Heading_NoToc_7"/>
    <w:basedOn w:val="Heading7"/>
    <w:qFormat/>
    <w:rsid w:val="00B51F06"/>
  </w:style>
  <w:style w:type="paragraph" w:customStyle="1" w:styleId="DSHeadingNoToc8">
    <w:name w:val="DS_Heading_NoToc_8"/>
    <w:basedOn w:val="Heading8"/>
    <w:qFormat/>
    <w:rsid w:val="00B51F06"/>
  </w:style>
  <w:style w:type="paragraph" w:customStyle="1" w:styleId="DSHeadingNoToc9">
    <w:name w:val="DS_Heading_NoToc_9"/>
    <w:basedOn w:val="Heading9"/>
    <w:qFormat/>
    <w:rsid w:val="00B51F06"/>
  </w:style>
  <w:style w:type="paragraph" w:customStyle="1" w:styleId="DSLabels">
    <w:name w:val="DS_Labels"/>
    <w:basedOn w:val="Normal"/>
    <w:qFormat/>
    <w:rsid w:val="009F10AB"/>
    <w:pPr>
      <w:spacing w:line="220" w:lineRule="atLeast"/>
      <w:jc w:val="both"/>
    </w:pPr>
    <w:rPr>
      <w:rFonts w:ascii="Univers 45 Light" w:eastAsia="Times New Roman" w:hAnsi="Univers 45 Light" w:cs="Times New Roman"/>
      <w:i/>
      <w:sz w:val="14"/>
      <w:szCs w:val="19"/>
      <w:lang w:eastAsia="en-GB"/>
    </w:rPr>
  </w:style>
  <w:style w:type="paragraph" w:customStyle="1" w:styleId="DSSendOption">
    <w:name w:val="DS_SendOption"/>
    <w:basedOn w:val="Normal"/>
    <w:qFormat/>
    <w:rsid w:val="009F10AB"/>
    <w:rPr>
      <w:rFonts w:eastAsia="Times New Roman" w:cs="Times New Roman"/>
      <w:b/>
      <w:caps/>
      <w:noProof/>
      <w:szCs w:val="19"/>
      <w:lang w:eastAsia="en-GB"/>
    </w:rPr>
  </w:style>
  <w:style w:type="paragraph" w:customStyle="1" w:styleId="DSConfidentiality">
    <w:name w:val="DS_Confidentiality"/>
    <w:basedOn w:val="Normal"/>
    <w:qFormat/>
    <w:rsid w:val="00C54281"/>
    <w:rPr>
      <w:rFonts w:eastAsia="Times New Roman" w:cs="Times New Roman"/>
      <w:i/>
      <w:caps/>
      <w:noProof/>
      <w:szCs w:val="24"/>
      <w:lang w:eastAsia="en-GB"/>
    </w:rPr>
  </w:style>
  <w:style w:type="paragraph" w:styleId="Header">
    <w:name w:val="header"/>
    <w:basedOn w:val="Normal"/>
    <w:link w:val="HeaderChar"/>
    <w:uiPriority w:val="99"/>
    <w:unhideWhenUsed/>
    <w:rsid w:val="00C91A05"/>
    <w:pPr>
      <w:tabs>
        <w:tab w:val="center" w:pos="4680"/>
        <w:tab w:val="right" w:pos="9360"/>
      </w:tabs>
    </w:pPr>
  </w:style>
  <w:style w:type="character" w:customStyle="1" w:styleId="HeaderChar">
    <w:name w:val="Header Char"/>
    <w:basedOn w:val="DefaultParagraphFont"/>
    <w:link w:val="Header"/>
    <w:uiPriority w:val="99"/>
    <w:rsid w:val="00C91A05"/>
  </w:style>
  <w:style w:type="paragraph" w:styleId="BalloonText">
    <w:name w:val="Balloon Text"/>
    <w:basedOn w:val="Normal"/>
    <w:link w:val="BalloonTextChar"/>
    <w:uiPriority w:val="99"/>
    <w:semiHidden/>
    <w:unhideWhenUsed/>
    <w:rsid w:val="00401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C65"/>
    <w:rPr>
      <w:rFonts w:ascii="Segoe UI" w:hAnsi="Segoe UI" w:cs="Segoe UI"/>
      <w:sz w:val="18"/>
      <w:szCs w:val="18"/>
      <w:lang w:val="en-GB"/>
    </w:rPr>
  </w:style>
  <w:style w:type="paragraph" w:styleId="ListParagraph">
    <w:name w:val="List Paragraph"/>
    <w:basedOn w:val="Normal"/>
    <w:uiPriority w:val="34"/>
    <w:unhideWhenUsed/>
    <w:qFormat/>
    <w:rsid w:val="000925AA"/>
    <w:pPr>
      <w:ind w:left="720"/>
      <w:contextualSpacing/>
    </w:pPr>
  </w:style>
  <w:style w:type="paragraph" w:customStyle="1" w:styleId="DSNumberedList10">
    <w:name w:val="DS_NumberedList_1"/>
    <w:basedOn w:val="Normal"/>
    <w:qFormat/>
    <w:rsid w:val="007E3EDD"/>
    <w:pPr>
      <w:numPr>
        <w:numId w:val="21"/>
      </w:numPr>
    </w:pPr>
    <w:rPr>
      <w:rFonts w:eastAsia="Times New Roman" w:cs="Times New Roman"/>
      <w:szCs w:val="24"/>
      <w:lang w:eastAsia="en-GB"/>
    </w:rPr>
  </w:style>
  <w:style w:type="paragraph" w:customStyle="1" w:styleId="DSNumberedListA0">
    <w:name w:val="DS_NumberedList_A"/>
    <w:basedOn w:val="Normal"/>
    <w:qFormat/>
    <w:rsid w:val="007E3EDD"/>
    <w:pPr>
      <w:numPr>
        <w:numId w:val="22"/>
      </w:numPr>
    </w:pPr>
    <w:rPr>
      <w:rFonts w:eastAsia="Times New Roman" w:cs="Times New Roman"/>
      <w:szCs w:val="24"/>
      <w:lang w:eastAsia="en-GB"/>
    </w:rPr>
  </w:style>
  <w:style w:type="paragraph" w:customStyle="1" w:styleId="DSNumberedListI">
    <w:name w:val="DS_NumberedList_I"/>
    <w:basedOn w:val="Normal"/>
    <w:qFormat/>
    <w:rsid w:val="007E3EDD"/>
    <w:pPr>
      <w:numPr>
        <w:numId w:val="31"/>
      </w:numPr>
    </w:pPr>
    <w:rPr>
      <w:rFonts w:eastAsia="Times New Roman" w:cs="Times New Roman"/>
      <w:szCs w:val="24"/>
      <w:lang w:eastAsia="en-GB"/>
    </w:rPr>
  </w:style>
  <w:style w:type="numbering" w:customStyle="1" w:styleId="DSHeadings">
    <w:name w:val="DS_Headings"/>
    <w:uiPriority w:val="99"/>
    <w:rsid w:val="00222D39"/>
    <w:pPr>
      <w:numPr>
        <w:numId w:val="24"/>
      </w:numPr>
    </w:pPr>
  </w:style>
  <w:style w:type="numbering" w:customStyle="1" w:styleId="DSNumberedlist1">
    <w:name w:val="DS_Numbered list 1."/>
    <w:uiPriority w:val="99"/>
    <w:rsid w:val="00D9698D"/>
    <w:pPr>
      <w:numPr>
        <w:numId w:val="27"/>
      </w:numPr>
    </w:pPr>
  </w:style>
  <w:style w:type="numbering" w:customStyle="1" w:styleId="DSNumberedListII">
    <w:name w:val="DS_Numbered List II"/>
    <w:uiPriority w:val="99"/>
    <w:rsid w:val="00DF4C56"/>
    <w:pPr>
      <w:numPr>
        <w:numId w:val="30"/>
      </w:numPr>
    </w:pPr>
  </w:style>
  <w:style w:type="numbering" w:customStyle="1" w:styleId="DSNumberedListA">
    <w:name w:val="DS_Numbered List A"/>
    <w:uiPriority w:val="99"/>
    <w:rsid w:val="007A5EDC"/>
    <w:pPr>
      <w:numPr>
        <w:numId w:val="32"/>
      </w:numPr>
    </w:pPr>
  </w:style>
  <w:style w:type="character" w:customStyle="1" w:styleId="DSProductions">
    <w:name w:val="DS_Productions"/>
    <w:basedOn w:val="DefaultParagraphFont"/>
    <w:uiPriority w:val="1"/>
    <w:qFormat/>
    <w:rsid w:val="00C119A8"/>
    <w:rPr>
      <w:b/>
      <w:lang w:val="en-GB"/>
    </w:rPr>
  </w:style>
  <w:style w:type="paragraph" w:customStyle="1" w:styleId="DSBodyText1">
    <w:name w:val="DS_BodyText_1"/>
    <w:basedOn w:val="Normal"/>
    <w:qFormat/>
    <w:rsid w:val="008D2DFD"/>
    <w:rPr>
      <w:rFonts w:eastAsia="Times New Roman" w:cs="Times New Roman"/>
      <w:szCs w:val="24"/>
      <w:lang w:eastAsia="en-GB"/>
    </w:rPr>
  </w:style>
  <w:style w:type="paragraph" w:customStyle="1" w:styleId="DSBodyText2">
    <w:name w:val="DS_BodyText_2"/>
    <w:basedOn w:val="DSBodyText1"/>
    <w:qFormat/>
    <w:rsid w:val="003F4E8F"/>
    <w:pPr>
      <w:numPr>
        <w:ilvl w:val="1"/>
      </w:numPr>
      <w:spacing w:after="140" w:line="288" w:lineRule="auto"/>
      <w:ind w:left="567"/>
      <w:jc w:val="both"/>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33"/>
      </w:numPr>
    </w:pPr>
  </w:style>
  <w:style w:type="paragraph" w:customStyle="1" w:styleId="DSBodyTextNumbered1">
    <w:name w:val="DS_BodyText_Numbered_1"/>
    <w:basedOn w:val="Normal"/>
    <w:qFormat/>
    <w:rsid w:val="008D2DFD"/>
    <w:pPr>
      <w:numPr>
        <w:numId w:val="34"/>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A867BF"/>
    <w:pPr>
      <w:ind w:left="567"/>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Heading1"/>
    <w:next w:val="Normal"/>
    <w:qFormat/>
    <w:rsid w:val="00A03827"/>
    <w:pPr>
      <w:numPr>
        <w:numId w:val="0"/>
      </w:numPr>
    </w:pPr>
  </w:style>
  <w:style w:type="paragraph" w:customStyle="1" w:styleId="DSHeadingUnnumbered2">
    <w:name w:val="DS_Heading_Unnumbered_2"/>
    <w:basedOn w:val="Heading2"/>
    <w:qFormat/>
    <w:rsid w:val="00611C70"/>
    <w:pPr>
      <w:numPr>
        <w:ilvl w:val="0"/>
        <w:numId w:val="0"/>
      </w:numPr>
    </w:pPr>
  </w:style>
  <w:style w:type="paragraph" w:customStyle="1" w:styleId="DSHeadingUnnumbered3">
    <w:name w:val="DS_Heading_Unnumbered_3"/>
    <w:basedOn w:val="Heading3"/>
    <w:next w:val="Normal"/>
    <w:qFormat/>
    <w:rsid w:val="00611C70"/>
    <w:pPr>
      <w:numPr>
        <w:ilvl w:val="0"/>
        <w:numId w:val="0"/>
      </w:numPr>
    </w:pPr>
  </w:style>
  <w:style w:type="paragraph" w:customStyle="1" w:styleId="DSHeadingUnnumbered4">
    <w:name w:val="DS_Heading_Unnumbered_4"/>
    <w:basedOn w:val="Heading4"/>
    <w:next w:val="Normal"/>
    <w:qFormat/>
    <w:rsid w:val="00DA090C"/>
    <w:pPr>
      <w:numPr>
        <w:ilvl w:val="0"/>
        <w:numId w:val="0"/>
      </w:numPr>
    </w:pPr>
  </w:style>
  <w:style w:type="paragraph" w:customStyle="1" w:styleId="DSHeadingUnnumbered5">
    <w:name w:val="DS_Heading_Unnumbered_5"/>
    <w:basedOn w:val="Heading5"/>
    <w:next w:val="Normal"/>
    <w:qFormat/>
    <w:rsid w:val="00A01E9B"/>
    <w:pPr>
      <w:numPr>
        <w:ilvl w:val="0"/>
        <w:numId w:val="0"/>
      </w:numPr>
    </w:pPr>
  </w:style>
  <w:style w:type="paragraph" w:customStyle="1" w:styleId="DSHeadingUnnumbered6">
    <w:name w:val="DS_Heading_Unnumbered_6"/>
    <w:basedOn w:val="Heading6"/>
    <w:next w:val="Normal"/>
    <w:qFormat/>
    <w:rsid w:val="00A01E9B"/>
    <w:pPr>
      <w:numPr>
        <w:ilvl w:val="0"/>
        <w:numId w:val="0"/>
      </w:numPr>
    </w:pPr>
  </w:style>
  <w:style w:type="paragraph" w:customStyle="1" w:styleId="DSHeadingUnnumbered7">
    <w:name w:val="DS_Heading_Unnumbered_7"/>
    <w:basedOn w:val="Heading7"/>
    <w:next w:val="Normal"/>
    <w:qFormat/>
    <w:rsid w:val="00A01E9B"/>
    <w:pPr>
      <w:numPr>
        <w:ilvl w:val="0"/>
        <w:numId w:val="0"/>
      </w:numPr>
    </w:pPr>
  </w:style>
  <w:style w:type="paragraph" w:customStyle="1" w:styleId="DSHeadingUnnumbered8">
    <w:name w:val="DS_Heading_Unnumbered_8"/>
    <w:basedOn w:val="Heading8"/>
    <w:next w:val="Normal"/>
    <w:qFormat/>
    <w:rsid w:val="00A01E9B"/>
    <w:pPr>
      <w:numPr>
        <w:ilvl w:val="0"/>
        <w:numId w:val="0"/>
      </w:numPr>
    </w:pPr>
  </w:style>
  <w:style w:type="paragraph" w:customStyle="1" w:styleId="DSHeadingUnnumbered9">
    <w:name w:val="DS_Heading_Unnumbered_9"/>
    <w:basedOn w:val="Heading9"/>
    <w:next w:val="Normal"/>
    <w:qFormat/>
    <w:rsid w:val="00A01E9B"/>
    <w:pPr>
      <w:numPr>
        <w:ilvl w:val="0"/>
        <w:numId w:val="0"/>
      </w:numPr>
    </w:pPr>
  </w:style>
  <w:style w:type="paragraph" w:styleId="TOC4">
    <w:name w:val="toc 4"/>
    <w:basedOn w:val="Normal"/>
    <w:next w:val="Normal"/>
    <w:autoRedefine/>
    <w:uiPriority w:val="39"/>
    <w:unhideWhenUsed/>
    <w:rsid w:val="00635F00"/>
    <w:pPr>
      <w:tabs>
        <w:tab w:val="left" w:pos="851"/>
        <w:tab w:val="right" w:leader="dot" w:pos="9394"/>
      </w:tabs>
      <w:ind w:left="851" w:hanging="851"/>
    </w:pPr>
  </w:style>
  <w:style w:type="paragraph" w:styleId="TOC5">
    <w:name w:val="toc 5"/>
    <w:basedOn w:val="Normal"/>
    <w:next w:val="Normal"/>
    <w:autoRedefine/>
    <w:uiPriority w:val="39"/>
    <w:unhideWhenUsed/>
    <w:rsid w:val="00635F00"/>
    <w:pPr>
      <w:tabs>
        <w:tab w:val="left" w:leader="dot" w:pos="851"/>
        <w:tab w:val="right" w:leader="dot" w:pos="9394"/>
      </w:tabs>
      <w:ind w:left="851" w:hanging="851"/>
    </w:pPr>
  </w:style>
  <w:style w:type="paragraph" w:styleId="TOC6">
    <w:name w:val="toc 6"/>
    <w:basedOn w:val="Normal"/>
    <w:next w:val="Normal"/>
    <w:autoRedefine/>
    <w:uiPriority w:val="39"/>
    <w:unhideWhenUsed/>
    <w:rsid w:val="00635F00"/>
    <w:pPr>
      <w:tabs>
        <w:tab w:val="left" w:pos="1701"/>
        <w:tab w:val="right" w:leader="dot" w:pos="9394"/>
      </w:tabs>
      <w:ind w:left="1701" w:hanging="1701"/>
    </w:pPr>
  </w:style>
  <w:style w:type="paragraph" w:styleId="TOC7">
    <w:name w:val="toc 7"/>
    <w:basedOn w:val="Normal"/>
    <w:next w:val="Normal"/>
    <w:autoRedefine/>
    <w:uiPriority w:val="39"/>
    <w:unhideWhenUsed/>
    <w:rsid w:val="00635F00"/>
    <w:pPr>
      <w:tabs>
        <w:tab w:val="left" w:pos="1701"/>
        <w:tab w:val="right" w:leader="dot" w:pos="9394"/>
      </w:tabs>
      <w:ind w:left="1701" w:hanging="1701"/>
    </w:pPr>
  </w:style>
  <w:style w:type="paragraph" w:styleId="TOC8">
    <w:name w:val="toc 8"/>
    <w:basedOn w:val="Normal"/>
    <w:next w:val="Normal"/>
    <w:autoRedefine/>
    <w:uiPriority w:val="39"/>
    <w:unhideWhenUsed/>
    <w:rsid w:val="00635F00"/>
    <w:pPr>
      <w:tabs>
        <w:tab w:val="left" w:pos="1701"/>
        <w:tab w:val="right" w:leader="dot" w:pos="9394"/>
      </w:tabs>
      <w:ind w:left="1701" w:hanging="1701"/>
    </w:pPr>
  </w:style>
  <w:style w:type="paragraph" w:styleId="TOC9">
    <w:name w:val="toc 9"/>
    <w:basedOn w:val="Normal"/>
    <w:next w:val="Normal"/>
    <w:autoRedefine/>
    <w:uiPriority w:val="39"/>
    <w:unhideWhenUsed/>
    <w:rsid w:val="00635F00"/>
    <w:pPr>
      <w:tabs>
        <w:tab w:val="left" w:pos="1701"/>
        <w:tab w:val="right" w:leader="dot" w:pos="9394"/>
      </w:tabs>
      <w:ind w:left="1701" w:hanging="1701"/>
    </w:pPr>
  </w:style>
  <w:style w:type="table" w:styleId="TableGrid">
    <w:name w:val="Table Grid"/>
    <w:basedOn w:val="TableNormal"/>
    <w:uiPriority w:val="39"/>
    <w:rsid w:val="008258F0"/>
    <w:pPr>
      <w:spacing w:after="0" w:line="240" w:lineRule="auto"/>
    </w:pPr>
    <w:tblPr>
      <w:tblCellMar>
        <w:left w:w="0" w:type="dxa"/>
        <w:right w:w="0" w:type="dxa"/>
      </w:tblCellMar>
    </w:tblPr>
  </w:style>
  <w:style w:type="table" w:customStyle="1" w:styleId="DSTableClear">
    <w:name w:val="DS_TableClear"/>
    <w:basedOn w:val="TableNormal"/>
    <w:uiPriority w:val="99"/>
    <w:rsid w:val="00DD1999"/>
    <w:pPr>
      <w:spacing w:after="0" w:line="240" w:lineRule="auto"/>
    </w:pPr>
    <w:tblPr>
      <w:tblCellMar>
        <w:left w:w="0" w:type="dxa"/>
        <w:right w:w="0" w:type="dxa"/>
      </w:tblCellMar>
    </w:tblPr>
  </w:style>
  <w:style w:type="table" w:customStyle="1" w:styleId="DSTable">
    <w:name w:val="DS_Table"/>
    <w:basedOn w:val="TableGrid"/>
    <w:uiPriority w:val="99"/>
    <w:rsid w:val="009F10AB"/>
    <w:rPr>
      <w:rFonts w:eastAsia="Times New Roman"/>
      <w:sz w:val="20"/>
      <w:szCs w:val="19"/>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shd w:val="clear" w:color="auto" w:fill="auto"/>
    </w:tcPr>
    <w:tblStylePr w:type="firstRow">
      <w:rPr>
        <w:rFonts w:asciiTheme="minorHAnsi" w:hAnsiTheme="minorHAnsi"/>
        <w:b/>
        <w:color w:val="auto"/>
        <w:sz w:val="22"/>
      </w:rPr>
      <w:tblPr/>
      <w:tcPr>
        <w:shd w:val="clear" w:color="auto" w:fill="00257A" w:themeFill="accent1"/>
      </w:tcPr>
    </w:tblStylePr>
    <w:tblStylePr w:type="lastRow">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auto"/>
      </w:tcPr>
    </w:tblStylePr>
  </w:style>
  <w:style w:type="character" w:customStyle="1" w:styleId="DSAccentColor">
    <w:name w:val="DS_AccentColor"/>
    <w:basedOn w:val="DefaultParagraphFont"/>
    <w:uiPriority w:val="1"/>
    <w:qFormat/>
    <w:rsid w:val="00A4691D"/>
    <w:rPr>
      <w:color w:val="00257A" w:themeColor="accent1"/>
      <w:lang w:val="en-GB"/>
    </w:rPr>
  </w:style>
  <w:style w:type="paragraph" w:customStyle="1" w:styleId="DSExhibits">
    <w:name w:val="DS_Exhibits"/>
    <w:basedOn w:val="Heading1"/>
    <w:next w:val="Normal"/>
    <w:qFormat/>
    <w:rsid w:val="000937F0"/>
    <w:pPr>
      <w:numPr>
        <w:numId w:val="0"/>
      </w:numPr>
    </w:pPr>
  </w:style>
  <w:style w:type="paragraph" w:customStyle="1" w:styleId="DSSchedules">
    <w:name w:val="DS_Schedules"/>
    <w:basedOn w:val="Heading1"/>
    <w:next w:val="Normal"/>
    <w:qFormat/>
    <w:rsid w:val="000937F0"/>
    <w:pPr>
      <w:numPr>
        <w:numId w:val="0"/>
      </w:numPr>
    </w:pPr>
  </w:style>
  <w:style w:type="table" w:customStyle="1" w:styleId="TableGrid1">
    <w:name w:val="Table Grid1"/>
    <w:basedOn w:val="TableNormal"/>
    <w:next w:val="TableGrid"/>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DefaultParagraphFont"/>
    <w:uiPriority w:val="1"/>
    <w:qFormat/>
    <w:rsid w:val="00A91224"/>
    <w:rPr>
      <w:rFonts w:ascii="Wingdings" w:hAnsi="Wingdings"/>
      <w:color w:val="000000" w:themeColor="text1"/>
      <w:sz w:val="14"/>
      <w:lang w:val="en-GB"/>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IntenseEmphasis">
    <w:name w:val="Intense Emphasis"/>
    <w:basedOn w:val="DefaultParagraphFont"/>
    <w:uiPriority w:val="21"/>
    <w:qFormat/>
    <w:rsid w:val="00826D11"/>
    <w:rPr>
      <w:i/>
      <w:iCs/>
      <w:color w:val="00257A" w:themeColor="accent1"/>
      <w:lang w:val="en-GB"/>
    </w:rPr>
  </w:style>
  <w:style w:type="paragraph" w:styleId="ListBullet2">
    <w:name w:val="List Bullet 2"/>
    <w:basedOn w:val="Normal"/>
    <w:uiPriority w:val="99"/>
    <w:unhideWhenUsed/>
    <w:rsid w:val="00BC33A0"/>
    <w:pPr>
      <w:numPr>
        <w:numId w:val="40"/>
      </w:numPr>
      <w:contextualSpacing/>
    </w:pPr>
  </w:style>
  <w:style w:type="paragraph" w:styleId="ListBullet3">
    <w:name w:val="List Bullet 3"/>
    <w:basedOn w:val="Normal"/>
    <w:uiPriority w:val="99"/>
    <w:unhideWhenUsed/>
    <w:rsid w:val="00BC33A0"/>
    <w:pPr>
      <w:numPr>
        <w:numId w:val="41"/>
      </w:numPr>
      <w:contextualSpacing/>
    </w:pPr>
  </w:style>
  <w:style w:type="paragraph" w:customStyle="1" w:styleId="DSHeadingNonLegal1">
    <w:name w:val="DS_Heading_NonLegal_1"/>
    <w:basedOn w:val="Heading1"/>
    <w:next w:val="Normal"/>
    <w:qFormat/>
    <w:rsid w:val="00E757E5"/>
    <w:pPr>
      <w:numPr>
        <w:numId w:val="39"/>
      </w:numPr>
    </w:pPr>
  </w:style>
  <w:style w:type="paragraph" w:customStyle="1" w:styleId="DSHeadingNonLegal2">
    <w:name w:val="DS_Heading_NonLegal_2"/>
    <w:basedOn w:val="Heading2"/>
    <w:next w:val="Normal"/>
    <w:qFormat/>
    <w:rsid w:val="00E757E5"/>
    <w:pPr>
      <w:numPr>
        <w:numId w:val="39"/>
      </w:numPr>
    </w:pPr>
  </w:style>
  <w:style w:type="paragraph" w:customStyle="1" w:styleId="DSHeadingNonLegal3">
    <w:name w:val="DS_Heading_NonLegal_3"/>
    <w:basedOn w:val="Heading3"/>
    <w:next w:val="Normal"/>
    <w:qFormat/>
    <w:rsid w:val="00E757E5"/>
    <w:pPr>
      <w:numPr>
        <w:numId w:val="39"/>
      </w:numPr>
    </w:pPr>
  </w:style>
  <w:style w:type="paragraph" w:customStyle="1" w:styleId="DSHeadingNonLegal4">
    <w:name w:val="DS_Heading_NonLegal_4"/>
    <w:basedOn w:val="Heading4"/>
    <w:next w:val="Normal"/>
    <w:qFormat/>
    <w:rsid w:val="00E757E5"/>
    <w:pPr>
      <w:numPr>
        <w:numId w:val="39"/>
      </w:numPr>
    </w:pPr>
  </w:style>
  <w:style w:type="paragraph" w:customStyle="1" w:styleId="DSHeadingNonLegal5">
    <w:name w:val="DS_Heading_NonLegal_5"/>
    <w:basedOn w:val="Heading5"/>
    <w:next w:val="Normal"/>
    <w:qFormat/>
    <w:rsid w:val="00E757E5"/>
    <w:pPr>
      <w:numPr>
        <w:numId w:val="39"/>
      </w:numPr>
    </w:pPr>
  </w:style>
  <w:style w:type="paragraph" w:customStyle="1" w:styleId="DSHeadingNonLegal6">
    <w:name w:val="DS_Heading_NonLegal_6"/>
    <w:basedOn w:val="Heading6"/>
    <w:next w:val="Normal"/>
    <w:qFormat/>
    <w:rsid w:val="00E757E5"/>
    <w:pPr>
      <w:numPr>
        <w:numId w:val="39"/>
      </w:numPr>
    </w:pPr>
  </w:style>
  <w:style w:type="paragraph" w:customStyle="1" w:styleId="DSHeadingNonLegal7">
    <w:name w:val="DS_Heading_NonLegal_7"/>
    <w:basedOn w:val="Heading7"/>
    <w:next w:val="Normal"/>
    <w:qFormat/>
    <w:rsid w:val="00E757E5"/>
    <w:pPr>
      <w:numPr>
        <w:numId w:val="39"/>
      </w:numPr>
    </w:pPr>
  </w:style>
  <w:style w:type="paragraph" w:customStyle="1" w:styleId="DSHeadingNonLegal8">
    <w:name w:val="DS_Heading_NonLegal_8"/>
    <w:basedOn w:val="Heading8"/>
    <w:next w:val="Normal"/>
    <w:qFormat/>
    <w:rsid w:val="00E757E5"/>
    <w:pPr>
      <w:numPr>
        <w:numId w:val="39"/>
      </w:numPr>
    </w:pPr>
  </w:style>
  <w:style w:type="paragraph" w:customStyle="1" w:styleId="DSHeadingNonLegal9">
    <w:name w:val="DS_Heading_NonLegal_9"/>
    <w:basedOn w:val="Heading9"/>
    <w:next w:val="Normal"/>
    <w:qFormat/>
    <w:rsid w:val="00E757E5"/>
    <w:pPr>
      <w:numPr>
        <w:numId w:val="39"/>
      </w:numPr>
    </w:pPr>
  </w:style>
  <w:style w:type="paragraph" w:customStyle="1" w:styleId="DSSendOption0">
    <w:name w:val="DS_Send Option"/>
    <w:basedOn w:val="Normal"/>
    <w:qFormat/>
    <w:rsid w:val="009F10AB"/>
    <w:pPr>
      <w:jc w:val="both"/>
    </w:pPr>
    <w:rPr>
      <w:rFonts w:eastAsia="Times New Roman" w:cs="Times New Roman"/>
      <w:b/>
      <w:caps/>
      <w:szCs w:val="24"/>
      <w:lang w:eastAsia="en-GB"/>
    </w:rPr>
  </w:style>
  <w:style w:type="paragraph" w:customStyle="1" w:styleId="DSFooter1">
    <w:name w:val="DS_Footer_1"/>
    <w:basedOn w:val="Normal"/>
    <w:qFormat/>
    <w:rsid w:val="009F10AB"/>
    <w:pPr>
      <w:spacing w:line="120" w:lineRule="exact"/>
      <w:jc w:val="both"/>
    </w:pPr>
    <w:rPr>
      <w:rFonts w:ascii="Univers 45 Light" w:eastAsia="Times New Roman" w:hAnsi="Univers 45 Light" w:cs="Times New Roman"/>
      <w:color w:val="00257A" w:themeColor="text2"/>
      <w:sz w:val="10"/>
      <w:szCs w:val="24"/>
      <w:lang w:eastAsia="en-GB"/>
    </w:rPr>
  </w:style>
  <w:style w:type="paragraph" w:customStyle="1" w:styleId="DSFooter2">
    <w:name w:val="DS_Footer_2"/>
    <w:basedOn w:val="DSFooter1"/>
    <w:qFormat/>
    <w:rsid w:val="009F10AB"/>
    <w:rPr>
      <w:sz w:val="14"/>
    </w:rPr>
  </w:style>
  <w:style w:type="paragraph" w:customStyle="1" w:styleId="DSLocationData1">
    <w:name w:val="DS_LocationData_1"/>
    <w:basedOn w:val="Normal"/>
    <w:qFormat/>
    <w:rsid w:val="009F10AB"/>
    <w:pPr>
      <w:spacing w:line="160" w:lineRule="atLeast"/>
      <w:jc w:val="both"/>
    </w:pPr>
    <w:rPr>
      <w:rFonts w:ascii="Univers 45 Light" w:eastAsia="Times New Roman" w:hAnsi="Univers 45 Light" w:cs="Times New Roman"/>
      <w:noProof/>
      <w:sz w:val="14"/>
      <w:szCs w:val="24"/>
      <w:lang w:eastAsia="en-GB"/>
    </w:rPr>
  </w:style>
  <w:style w:type="paragraph" w:customStyle="1" w:styleId="DSLocationData2">
    <w:name w:val="DS_LocationData_2"/>
    <w:basedOn w:val="DSLocationData1"/>
    <w:qFormat/>
    <w:rsid w:val="009F10AB"/>
    <w:rPr>
      <w:vanish/>
    </w:rPr>
  </w:style>
  <w:style w:type="paragraph" w:customStyle="1" w:styleId="DSMemoTitle">
    <w:name w:val="DS_Memo Title"/>
    <w:basedOn w:val="Normal"/>
    <w:qFormat/>
    <w:rsid w:val="009F10AB"/>
    <w:pPr>
      <w:jc w:val="center"/>
    </w:pPr>
    <w:rPr>
      <w:rFonts w:eastAsia="Times New Roman" w:cs="Times New Roman"/>
      <w:b/>
      <w:noProof/>
      <w:color w:val="000000"/>
      <w:sz w:val="44"/>
      <w:szCs w:val="24"/>
      <w:lang w:eastAsia="en-GB"/>
    </w:rPr>
  </w:style>
  <w:style w:type="paragraph" w:customStyle="1" w:styleId="DSPageNumber">
    <w:name w:val="DS_Page Number"/>
    <w:basedOn w:val="Normal"/>
    <w:next w:val="Normal"/>
    <w:qFormat/>
    <w:rsid w:val="009F10AB"/>
    <w:pPr>
      <w:jc w:val="both"/>
    </w:pPr>
    <w:rPr>
      <w:rFonts w:eastAsia="Times New Roman" w:cs="Times New Roman"/>
      <w:b/>
      <w:sz w:val="16"/>
      <w:szCs w:val="19"/>
      <w:lang w:eastAsia="en-GB"/>
    </w:rPr>
  </w:style>
  <w:style w:type="paragraph" w:customStyle="1" w:styleId="DSReturnAddress">
    <w:name w:val="DS_ReturnAddress"/>
    <w:basedOn w:val="DSSendOption0"/>
    <w:qFormat/>
    <w:rsid w:val="009F10AB"/>
    <w:pPr>
      <w:spacing w:line="280" w:lineRule="atLeast"/>
    </w:pPr>
    <w:rPr>
      <w:b w:val="0"/>
      <w:caps w:val="0"/>
      <w:sz w:val="16"/>
      <w:szCs w:val="19"/>
      <w:u w:val="single"/>
    </w:rPr>
  </w:style>
  <w:style w:type="paragraph" w:customStyle="1" w:styleId="Level1">
    <w:name w:val="Level 1"/>
    <w:basedOn w:val="Normal"/>
    <w:next w:val="Normal"/>
    <w:rsid w:val="00D961B5"/>
    <w:pPr>
      <w:keepNext/>
      <w:numPr>
        <w:numId w:val="48"/>
      </w:numPr>
      <w:spacing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D961B5"/>
    <w:pPr>
      <w:numPr>
        <w:ilvl w:val="1"/>
        <w:numId w:val="48"/>
      </w:numPr>
      <w:spacing w:line="288" w:lineRule="auto"/>
      <w:jc w:val="both"/>
    </w:pPr>
    <w:rPr>
      <w:rFonts w:ascii="Arial" w:eastAsia="Times New Roman" w:hAnsi="Arial" w:cs="Times New Roman"/>
      <w:kern w:val="20"/>
      <w:sz w:val="20"/>
      <w:szCs w:val="28"/>
    </w:rPr>
  </w:style>
  <w:style w:type="paragraph" w:customStyle="1" w:styleId="Level3">
    <w:name w:val="Level 3"/>
    <w:basedOn w:val="Normal"/>
    <w:rsid w:val="00D961B5"/>
    <w:pPr>
      <w:numPr>
        <w:ilvl w:val="2"/>
        <w:numId w:val="48"/>
      </w:numPr>
      <w:spacing w:line="288" w:lineRule="auto"/>
      <w:jc w:val="both"/>
    </w:pPr>
    <w:rPr>
      <w:rFonts w:ascii="Arial" w:eastAsia="Times New Roman" w:hAnsi="Arial" w:cs="Times New Roman"/>
      <w:kern w:val="20"/>
      <w:sz w:val="20"/>
      <w:szCs w:val="28"/>
    </w:rPr>
  </w:style>
  <w:style w:type="paragraph" w:customStyle="1" w:styleId="Level4">
    <w:name w:val="Level 4"/>
    <w:basedOn w:val="Normal"/>
    <w:rsid w:val="00D961B5"/>
    <w:pPr>
      <w:numPr>
        <w:ilvl w:val="3"/>
        <w:numId w:val="48"/>
      </w:numPr>
      <w:spacing w:line="288" w:lineRule="auto"/>
      <w:jc w:val="both"/>
    </w:pPr>
    <w:rPr>
      <w:rFonts w:ascii="Arial" w:eastAsia="Times New Roman" w:hAnsi="Arial" w:cs="Times New Roman"/>
      <w:kern w:val="20"/>
      <w:sz w:val="20"/>
      <w:szCs w:val="24"/>
    </w:rPr>
  </w:style>
  <w:style w:type="paragraph" w:customStyle="1" w:styleId="Level5">
    <w:name w:val="Level 5"/>
    <w:basedOn w:val="Normal"/>
    <w:rsid w:val="00D961B5"/>
    <w:pPr>
      <w:numPr>
        <w:ilvl w:val="4"/>
        <w:numId w:val="48"/>
      </w:numPr>
      <w:spacing w:line="288" w:lineRule="auto"/>
      <w:jc w:val="both"/>
    </w:pPr>
    <w:rPr>
      <w:rFonts w:ascii="Arial" w:eastAsia="Times New Roman" w:hAnsi="Arial" w:cs="Times New Roman"/>
      <w:kern w:val="20"/>
      <w:sz w:val="20"/>
      <w:szCs w:val="24"/>
    </w:rPr>
  </w:style>
  <w:style w:type="paragraph" w:customStyle="1" w:styleId="Level6">
    <w:name w:val="Level 6"/>
    <w:basedOn w:val="Normal"/>
    <w:rsid w:val="00D961B5"/>
    <w:pPr>
      <w:numPr>
        <w:ilvl w:val="5"/>
        <w:numId w:val="48"/>
      </w:numPr>
      <w:spacing w:line="288" w:lineRule="auto"/>
      <w:jc w:val="both"/>
    </w:pPr>
    <w:rPr>
      <w:rFonts w:ascii="Arial" w:eastAsia="Times New Roman" w:hAnsi="Arial" w:cs="Times New Roman"/>
      <w:kern w:val="20"/>
      <w:sz w:val="20"/>
      <w:szCs w:val="24"/>
    </w:rPr>
  </w:style>
  <w:style w:type="paragraph" w:customStyle="1" w:styleId="Level7">
    <w:name w:val="Level 7"/>
    <w:basedOn w:val="Normal"/>
    <w:rsid w:val="00D961B5"/>
    <w:pPr>
      <w:numPr>
        <w:ilvl w:val="6"/>
        <w:numId w:val="48"/>
      </w:numPr>
      <w:spacing w:line="288" w:lineRule="auto"/>
      <w:jc w:val="both"/>
      <w:outlineLvl w:val="6"/>
    </w:pPr>
    <w:rPr>
      <w:rFonts w:ascii="Arial" w:eastAsia="Times New Roman" w:hAnsi="Arial" w:cs="Times New Roman"/>
      <w:kern w:val="20"/>
      <w:sz w:val="20"/>
      <w:szCs w:val="24"/>
    </w:rPr>
  </w:style>
  <w:style w:type="paragraph" w:customStyle="1" w:styleId="Level8">
    <w:name w:val="Level 8"/>
    <w:basedOn w:val="Normal"/>
    <w:rsid w:val="00D961B5"/>
    <w:pPr>
      <w:numPr>
        <w:ilvl w:val="7"/>
        <w:numId w:val="48"/>
      </w:numPr>
      <w:spacing w:line="288" w:lineRule="auto"/>
      <w:jc w:val="both"/>
      <w:outlineLvl w:val="7"/>
    </w:pPr>
    <w:rPr>
      <w:rFonts w:ascii="Arial" w:eastAsia="Times New Roman" w:hAnsi="Arial" w:cs="Times New Roman"/>
      <w:kern w:val="20"/>
      <w:sz w:val="20"/>
      <w:szCs w:val="24"/>
    </w:rPr>
  </w:style>
  <w:style w:type="paragraph" w:customStyle="1" w:styleId="Level9">
    <w:name w:val="Level 9"/>
    <w:basedOn w:val="Normal"/>
    <w:rsid w:val="00D961B5"/>
    <w:pPr>
      <w:numPr>
        <w:ilvl w:val="8"/>
        <w:numId w:val="48"/>
      </w:numPr>
      <w:spacing w:line="288" w:lineRule="auto"/>
      <w:jc w:val="both"/>
      <w:outlineLvl w:val="8"/>
    </w:pPr>
    <w:rPr>
      <w:rFonts w:ascii="Arial" w:eastAsia="Times New Roman" w:hAnsi="Arial"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33935">
      <w:bodyDiv w:val="1"/>
      <w:marLeft w:val="0"/>
      <w:marRight w:val="0"/>
      <w:marTop w:val="0"/>
      <w:marBottom w:val="0"/>
      <w:divBdr>
        <w:top w:val="none" w:sz="0" w:space="0" w:color="auto"/>
        <w:left w:val="none" w:sz="0" w:space="0" w:color="auto"/>
        <w:bottom w:val="none" w:sz="0" w:space="0" w:color="auto"/>
        <w:right w:val="none" w:sz="0" w:space="0" w:color="auto"/>
      </w:divBdr>
    </w:div>
    <w:div w:id="816646660">
      <w:bodyDiv w:val="1"/>
      <w:marLeft w:val="0"/>
      <w:marRight w:val="0"/>
      <w:marTop w:val="0"/>
      <w:marBottom w:val="0"/>
      <w:divBdr>
        <w:top w:val="none" w:sz="0" w:space="0" w:color="auto"/>
        <w:left w:val="none" w:sz="0" w:space="0" w:color="auto"/>
        <w:bottom w:val="none" w:sz="0" w:space="0" w:color="auto"/>
        <w:right w:val="none" w:sz="0" w:space="0" w:color="auto"/>
      </w:divBdr>
    </w:div>
    <w:div w:id="908270275">
      <w:bodyDiv w:val="1"/>
      <w:marLeft w:val="0"/>
      <w:marRight w:val="0"/>
      <w:marTop w:val="0"/>
      <w:marBottom w:val="0"/>
      <w:divBdr>
        <w:top w:val="none" w:sz="0" w:space="0" w:color="auto"/>
        <w:left w:val="none" w:sz="0" w:space="0" w:color="auto"/>
        <w:bottom w:val="none" w:sz="0" w:space="0" w:color="auto"/>
        <w:right w:val="none" w:sz="0" w:space="0" w:color="auto"/>
      </w:divBdr>
    </w:div>
    <w:div w:id="1187401458">
      <w:bodyDiv w:val="1"/>
      <w:marLeft w:val="0"/>
      <w:marRight w:val="0"/>
      <w:marTop w:val="0"/>
      <w:marBottom w:val="0"/>
      <w:divBdr>
        <w:top w:val="none" w:sz="0" w:space="0" w:color="auto"/>
        <w:left w:val="none" w:sz="0" w:space="0" w:color="auto"/>
        <w:bottom w:val="none" w:sz="0" w:space="0" w:color="auto"/>
        <w:right w:val="none" w:sz="0" w:space="0" w:color="auto"/>
      </w:divBdr>
    </w:div>
    <w:div w:id="1688949575">
      <w:bodyDiv w:val="1"/>
      <w:marLeft w:val="0"/>
      <w:marRight w:val="0"/>
      <w:marTop w:val="0"/>
      <w:marBottom w:val="0"/>
      <w:divBdr>
        <w:top w:val="none" w:sz="0" w:space="0" w:color="auto"/>
        <w:left w:val="none" w:sz="0" w:space="0" w:color="auto"/>
        <w:bottom w:val="none" w:sz="0" w:space="0" w:color="auto"/>
        <w:right w:val="none" w:sz="0" w:space="0" w:color="auto"/>
      </w:divBdr>
    </w:div>
    <w:div w:id="1746760799">
      <w:bodyDiv w:val="1"/>
      <w:marLeft w:val="0"/>
      <w:marRight w:val="0"/>
      <w:marTop w:val="0"/>
      <w:marBottom w:val="0"/>
      <w:divBdr>
        <w:top w:val="none" w:sz="0" w:space="0" w:color="auto"/>
        <w:left w:val="none" w:sz="0" w:space="0" w:color="auto"/>
        <w:bottom w:val="none" w:sz="0" w:space="0" w:color="auto"/>
        <w:right w:val="none" w:sz="0" w:space="0" w:color="auto"/>
      </w:divBdr>
    </w:div>
    <w:div w:id="1828783749">
      <w:bodyDiv w:val="1"/>
      <w:marLeft w:val="0"/>
      <w:marRight w:val="0"/>
      <w:marTop w:val="0"/>
      <w:marBottom w:val="0"/>
      <w:divBdr>
        <w:top w:val="none" w:sz="0" w:space="0" w:color="auto"/>
        <w:left w:val="none" w:sz="0" w:space="0" w:color="auto"/>
        <w:bottom w:val="none" w:sz="0" w:space="0" w:color="auto"/>
        <w:right w:val="none" w:sz="0" w:space="0" w:color="auto"/>
      </w:divBdr>
    </w:div>
    <w:div w:id="196804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I_KPMG Meijburg">
  <a:themeElements>
    <a:clrScheme name="Meijburg kleuren">
      <a:dk1>
        <a:srgbClr val="000000"/>
      </a:dk1>
      <a:lt1>
        <a:srgbClr val="FFFFFF"/>
      </a:lt1>
      <a:dk2>
        <a:srgbClr val="00257A"/>
      </a:dk2>
      <a:lt2>
        <a:srgbClr val="FFFFFF"/>
      </a:lt2>
      <a:accent1>
        <a:srgbClr val="00257A"/>
      </a:accent1>
      <a:accent2>
        <a:srgbClr val="AFD3EB"/>
      </a:accent2>
      <a:accent3>
        <a:srgbClr val="6B6A6C"/>
      </a:accent3>
      <a:accent4>
        <a:srgbClr val="00257A"/>
      </a:accent4>
      <a:accent5>
        <a:srgbClr val="DE5315"/>
      </a:accent5>
      <a:accent6>
        <a:srgbClr val="A2132A"/>
      </a:accent6>
      <a:hlink>
        <a:srgbClr val="004881"/>
      </a:hlink>
      <a:folHlink>
        <a:srgbClr val="AFD3EB"/>
      </a:folHlink>
    </a:clrScheme>
    <a:fontScheme name="Custom 1">
      <a:majorFont>
        <a:latin typeface="Univers 55"/>
        <a:ea typeface=""/>
        <a:cs typeface=""/>
      </a:majorFont>
      <a:minorFont>
        <a:latin typeface="Univers 45 Light"/>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bwMode="gray">
        <a:gradFill rotWithShape="1">
          <a:gsLst>
            <a:gs pos="0">
              <a:srgbClr val="00257A">
                <a:alpha val="89998"/>
              </a:srgbClr>
            </a:gs>
            <a:gs pos="35001">
              <a:srgbClr val="00338D">
                <a:alpha val="89998"/>
              </a:srgbClr>
            </a:gs>
            <a:gs pos="100000">
              <a:srgbClr val="009FDA">
                <a:alpha val="89998"/>
              </a:srgbClr>
            </a:gs>
          </a:gsLst>
          <a:lin ang="0" scaled="1"/>
        </a:gradFill>
        <a:ln>
          <a:noFill/>
        </a:ln>
        <a:extLst>
          <a:ext uri="{91240B29-F687-4f45-9708-019B960494DF}">
            <a14:hiddenLine xmlns:a14="http://schemas.microsoft.com/office/drawing/2010/main" xmlns="" w="9525" cap="flat" cmpd="sng">
              <a:solidFill>
                <a:srgbClr val="000000"/>
              </a:solidFill>
              <a:prstDash val="solid"/>
              <a:round/>
              <a:headEnd type="none" w="med" len="med"/>
              <a:tailEnd type="none" w="med" len="med"/>
            </a14:hiddenLine>
          </a:ext>
        </a:extLst>
      </a:spPr>
      <a:bodyPr/>
      <a:lstStyle>
        <a:defPPr>
          <a:defRPr/>
        </a:defPPr>
      </a:lstStyle>
    </a:spDef>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600" dirty="0" smtClean="0"/>
        </a:defPPr>
      </a:lstStyle>
    </a:txDef>
  </a:objectDefaults>
  <a:extraClrSchemeLst>
    <a:extraClrScheme>
      <a:clrScheme name="KPMG Screen Standard Template 1">
        <a:dk1>
          <a:srgbClr val="007C92"/>
        </a:dk1>
        <a:lt1>
          <a:srgbClr val="FFFFFF"/>
        </a:lt1>
        <a:dk2>
          <a:srgbClr val="000000"/>
        </a:dk2>
        <a:lt2>
          <a:srgbClr val="747678"/>
        </a:lt2>
        <a:accent1>
          <a:srgbClr val="8E258D"/>
        </a:accent1>
        <a:accent2>
          <a:srgbClr val="A79E70"/>
        </a:accent2>
        <a:accent3>
          <a:srgbClr val="AAAAAA"/>
        </a:accent3>
        <a:accent4>
          <a:srgbClr val="DADADA"/>
        </a:accent4>
        <a:accent5>
          <a:srgbClr val="C6ACC5"/>
        </a:accent5>
        <a:accent6>
          <a:srgbClr val="978F65"/>
        </a:accent6>
        <a:hlink>
          <a:srgbClr val="007C92"/>
        </a:hlink>
        <a:folHlink>
          <a:srgbClr val="8E258D"/>
        </a:folHlink>
      </a:clrScheme>
      <a:clrMap bg1="dk2" tx1="lt1" bg2="dk1" tx2="lt2" accent1="accent1" accent2="accent2" accent3="accent3" accent4="accent4" accent5="accent5" accent6="accent6" hlink="hlink" folHlink="folHlink"/>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5B92-5BE0-4710-8B07-33FA47BC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2796</Words>
  <Characters>15379</Characters>
  <Application>Microsoft Office Word</Application>
  <DocSecurity>0</DocSecurity>
  <Lines>128</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KPMG</Company>
  <LinksUpToDate>false</LinksUpToDate>
  <CharactersWithSpaces>18139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Governance in distressed times</dc:subject>
  <dc:creator>P.J. Suurd</dc:creator>
  <cp:lastModifiedBy>van der Hem, Nynke</cp:lastModifiedBy>
  <cp:revision>2</cp:revision>
  <cp:lastPrinted>2020-04-08T09:39:00Z</cp:lastPrinted>
  <dcterms:created xsi:type="dcterms:W3CDTF">2020-04-15T10:21:00Z</dcterms:created>
  <dcterms:modified xsi:type="dcterms:W3CDTF">2020-04-15T10:21:00Z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erence">
    <vt:lpwstr>PB/2015/0077/-</vt:lpwstr>
  </property>
  <property fmtid="{D5CDD505-2E9C-101B-9397-08002B2CF9AE}" pid="3" name="ContentType">
    <vt:lpwstr>DMS Document</vt:lpwstr>
  </property>
  <property fmtid="{D5CDD505-2E9C-101B-9397-08002B2CF9AE}" pid="4" name="MatterCode">
    <vt:lpwstr/>
  </property>
  <property fmtid="{D5CDD505-2E9C-101B-9397-08002B2CF9AE}" pid="5" name="MatterName">
    <vt:lpwstr/>
  </property>
  <property fmtid="{D5CDD505-2E9C-101B-9397-08002B2CF9AE}" pid="6" name="ClientCode">
    <vt:lpwstr/>
  </property>
  <property fmtid="{D5CDD505-2E9C-101B-9397-08002B2CF9AE}" pid="7" name="ClientName">
    <vt:lpwstr/>
  </property>
  <property fmtid="{D5CDD505-2E9C-101B-9397-08002B2CF9AE}" pid="8" name="DocAuthor">
    <vt:lpwstr>-1;#Suurd.Pabe@meijburglegal.com</vt:lpwstr>
  </property>
</Properties>
</file>